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664E8B" w14:textId="7A2985EE" w:rsidR="006D1601" w:rsidRDefault="00021A0A" w:rsidP="002D2A21">
      <w:pPr>
        <w:pStyle w:val="Title"/>
      </w:pPr>
      <w:r w:rsidRPr="00BD116D">
        <w:t xml:space="preserve">Global Issues: Crime and Security – Politics </w:t>
      </w:r>
    </w:p>
    <w:p w14:paraId="286EBE0F" w14:textId="77777777" w:rsidR="00F73247" w:rsidRPr="00F73247" w:rsidRDefault="00F73247" w:rsidP="00F73247"/>
    <w:p w14:paraId="4B05C75D" w14:textId="5F509C2C" w:rsidR="007942B7" w:rsidRPr="00BD116D" w:rsidRDefault="007942B7" w:rsidP="007942B7">
      <w:pPr>
        <w:pStyle w:val="Heading1"/>
      </w:pPr>
      <w:r w:rsidRPr="00BD116D">
        <w:t xml:space="preserve">Setting the Scene – Global Trends in Security </w:t>
      </w:r>
    </w:p>
    <w:p w14:paraId="365EB780" w14:textId="5991802F" w:rsidR="00336EAE" w:rsidRPr="00BD116D" w:rsidRDefault="00336EAE" w:rsidP="00336EAE">
      <w:r w:rsidRPr="00BD116D">
        <w:t xml:space="preserve">Is the world getting less secure? </w:t>
      </w:r>
    </w:p>
    <w:p w14:paraId="26385D13" w14:textId="01153240" w:rsidR="00336EAE" w:rsidRPr="00BD116D" w:rsidRDefault="00336EAE" w:rsidP="00336EAE">
      <w:r w:rsidRPr="00BD116D">
        <w:t>It certainly seems like it.</w:t>
      </w:r>
      <w:r w:rsidRPr="00BD116D">
        <w:rPr>
          <w:rStyle w:val="FootnoteReference"/>
        </w:rPr>
        <w:footnoteReference w:id="1"/>
      </w:r>
      <w:r w:rsidRPr="00BD116D">
        <w:t xml:space="preserve"> Despite optimistic studies in the early 21</w:t>
      </w:r>
      <w:r w:rsidRPr="00BD116D">
        <w:rPr>
          <w:vertAlign w:val="superscript"/>
        </w:rPr>
        <w:t>st</w:t>
      </w:r>
      <w:r w:rsidRPr="00BD116D">
        <w:t xml:space="preserve"> century that we were entering – relatively speaking – the most peaceful, least violent period in human history,</w:t>
      </w:r>
      <w:r w:rsidR="00CD23F5" w:rsidRPr="00BD116D">
        <w:rPr>
          <w:rStyle w:val="FootnoteReference"/>
        </w:rPr>
        <w:footnoteReference w:id="2"/>
      </w:r>
      <w:r w:rsidRPr="00BD116D">
        <w:t xml:space="preserve"> recent years have seen an increase in the number of armed conflicts and rising lethality (i.e. a greater number of deaths in armed conflict)</w:t>
      </w:r>
      <w:r w:rsidR="00CD23F5" w:rsidRPr="00BD116D">
        <w:t xml:space="preserve">. </w:t>
      </w:r>
      <w:r w:rsidR="00A749AB" w:rsidRPr="00BD116D">
        <w:t>See Figures 1 and 2.</w:t>
      </w:r>
    </w:p>
    <w:p w14:paraId="76626C6C" w14:textId="62A39481" w:rsidR="00A749AB" w:rsidRPr="00BD116D" w:rsidRDefault="00A749AB" w:rsidP="004B039F">
      <w:pPr>
        <w:keepNext/>
        <w:jc w:val="center"/>
      </w:pPr>
      <w:r w:rsidRPr="00BD116D">
        <w:rPr>
          <w:noProof/>
        </w:rPr>
        <w:drawing>
          <wp:inline distT="0" distB="0" distL="0" distR="0" wp14:anchorId="5C965FFC" wp14:editId="3BC87143">
            <wp:extent cx="4502063" cy="4540469"/>
            <wp:effectExtent l="0" t="0" r="0" b="0"/>
            <wp:docPr id="1195133697"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screenshot of a graph&#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17869" cy="4556410"/>
                    </a:xfrm>
                    <a:prstGeom prst="rect">
                      <a:avLst/>
                    </a:prstGeom>
                    <a:noFill/>
                    <a:ln>
                      <a:noFill/>
                    </a:ln>
                  </pic:spPr>
                </pic:pic>
              </a:graphicData>
            </a:graphic>
          </wp:inline>
        </w:drawing>
      </w:r>
    </w:p>
    <w:p w14:paraId="4C8CCD25" w14:textId="3DF38477" w:rsidR="00A749AB" w:rsidRPr="00BD116D" w:rsidRDefault="00A749AB" w:rsidP="00A749AB">
      <w:pPr>
        <w:pStyle w:val="Caption"/>
      </w:pPr>
      <w:r w:rsidRPr="00BD116D">
        <w:t xml:space="preserve">Figure </w:t>
      </w:r>
      <w:fldSimple w:instr=" SEQ Figure \* ARABIC ">
        <w:r w:rsidR="00670F6E">
          <w:rPr>
            <w:noProof/>
          </w:rPr>
          <w:t>1</w:t>
        </w:r>
      </w:fldSimple>
      <w:r w:rsidRPr="00BD116D">
        <w:t xml:space="preserve"> https://ourworldindata.org/war-and-peace?insight=armed-conflict-is-common-and-takes-different-forms#key-insights</w:t>
      </w:r>
    </w:p>
    <w:p w14:paraId="717F5C9D" w14:textId="38850EBA" w:rsidR="00A749AB" w:rsidRPr="00BD116D" w:rsidRDefault="00A749AB" w:rsidP="004B039F">
      <w:pPr>
        <w:keepNext/>
        <w:jc w:val="center"/>
      </w:pPr>
      <w:r w:rsidRPr="00BD116D">
        <w:rPr>
          <w:noProof/>
        </w:rPr>
        <w:lastRenderedPageBreak/>
        <w:drawing>
          <wp:inline distT="0" distB="0" distL="0" distR="0" wp14:anchorId="6442F276" wp14:editId="73F625FD">
            <wp:extent cx="4564771" cy="4603713"/>
            <wp:effectExtent l="0" t="0" r="7620" b="6985"/>
            <wp:docPr id="1642401555"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screenshot of a graph&#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238" cy="4611244"/>
                    </a:xfrm>
                    <a:prstGeom prst="rect">
                      <a:avLst/>
                    </a:prstGeom>
                    <a:noFill/>
                    <a:ln>
                      <a:noFill/>
                    </a:ln>
                  </pic:spPr>
                </pic:pic>
              </a:graphicData>
            </a:graphic>
          </wp:inline>
        </w:drawing>
      </w:r>
    </w:p>
    <w:p w14:paraId="3E8314C7" w14:textId="0D30AC4D" w:rsidR="00A749AB" w:rsidRPr="00BD116D" w:rsidRDefault="00A749AB" w:rsidP="00A749AB">
      <w:pPr>
        <w:pStyle w:val="Caption"/>
      </w:pPr>
      <w:r w:rsidRPr="00BD116D">
        <w:t xml:space="preserve">Figure </w:t>
      </w:r>
      <w:fldSimple w:instr=" SEQ Figure \* ARABIC ">
        <w:r w:rsidR="00670F6E">
          <w:rPr>
            <w:noProof/>
          </w:rPr>
          <w:t>2</w:t>
        </w:r>
      </w:fldSimple>
      <w:r w:rsidRPr="00BD116D">
        <w:t xml:space="preserve"> https://ourworldindata.org/war-and-peace-data-explorers</w:t>
      </w:r>
    </w:p>
    <w:p w14:paraId="44950C51" w14:textId="6ECB9B77" w:rsidR="00336EAE" w:rsidRPr="00BD116D" w:rsidRDefault="00CD23F5" w:rsidP="00336EAE">
      <w:r w:rsidRPr="00BD116D">
        <w:t xml:space="preserve">That said, it’s important to keep these numbers in perspective when we look at </w:t>
      </w:r>
      <w:r w:rsidR="0030287A" w:rsidRPr="00BD116D">
        <w:t>global patter</w:t>
      </w:r>
      <w:r w:rsidR="009B6E29" w:rsidRPr="00BD116D">
        <w:t>n</w:t>
      </w:r>
      <w:r w:rsidR="0030287A" w:rsidRPr="00BD116D">
        <w:t xml:space="preserve">s of causes of death – the chances of dying in armed conflict or as a result of terrorism or homicide are (relatively) tiny. See Figure </w:t>
      </w:r>
      <w:r w:rsidR="00A749AB" w:rsidRPr="00BD116D">
        <w:t>3</w:t>
      </w:r>
      <w:r w:rsidR="0030287A" w:rsidRPr="00BD116D">
        <w:t xml:space="preserve">. </w:t>
      </w:r>
    </w:p>
    <w:p w14:paraId="2193B14F" w14:textId="451C593D" w:rsidR="007942B7" w:rsidRPr="00BD116D" w:rsidRDefault="007942B7" w:rsidP="004B039F">
      <w:pPr>
        <w:keepNext/>
        <w:jc w:val="center"/>
      </w:pPr>
      <w:r w:rsidRPr="00BD116D">
        <w:rPr>
          <w:noProof/>
        </w:rPr>
        <w:drawing>
          <wp:inline distT="0" distB="0" distL="0" distR="0" wp14:anchorId="00AAC597" wp14:editId="2FE62233">
            <wp:extent cx="3671850" cy="2822028"/>
            <wp:effectExtent l="0" t="0" r="5080" b="0"/>
            <wp:docPr id="497639189" name="Picture 2" descr="A screenshot of a medical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screenshot of a medical repo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90583" cy="2836426"/>
                    </a:xfrm>
                    <a:prstGeom prst="rect">
                      <a:avLst/>
                    </a:prstGeom>
                    <a:noFill/>
                    <a:ln>
                      <a:noFill/>
                    </a:ln>
                  </pic:spPr>
                </pic:pic>
              </a:graphicData>
            </a:graphic>
          </wp:inline>
        </w:drawing>
      </w:r>
    </w:p>
    <w:p w14:paraId="4C8B8C0A" w14:textId="2E1562A5" w:rsidR="007942B7" w:rsidRPr="00BD116D" w:rsidRDefault="007942B7" w:rsidP="007942B7">
      <w:pPr>
        <w:pStyle w:val="Caption"/>
      </w:pPr>
      <w:r w:rsidRPr="00BD116D">
        <w:t xml:space="preserve">Figure </w:t>
      </w:r>
      <w:fldSimple w:instr=" SEQ Figure \* ARABIC ">
        <w:r w:rsidR="00670F6E">
          <w:rPr>
            <w:noProof/>
          </w:rPr>
          <w:t>3</w:t>
        </w:r>
      </w:fldSimple>
      <w:r w:rsidRPr="00BD116D">
        <w:t xml:space="preserve"> https://ourworldindata.org/causes-of-death</w:t>
      </w:r>
    </w:p>
    <w:p w14:paraId="4F42FA35" w14:textId="2F57E1B4" w:rsidR="0030287A" w:rsidRPr="00BD116D" w:rsidRDefault="00A749AB" w:rsidP="007942B7">
      <w:r w:rsidRPr="00BD116D">
        <w:lastRenderedPageBreak/>
        <w:t>And in spite of the apparent frequency of armed conflicts, we should also look at other important trends to understand global security – for example, the increased proportion of countries that have formed so-called ‘security communities’ where war between members has become unthinkable</w:t>
      </w:r>
      <w:r w:rsidR="0062094F" w:rsidRPr="00BD116D">
        <w:t xml:space="preserve"> and the relative decline of severe interstate rivalries where violence is frequent</w:t>
      </w:r>
      <w:r w:rsidRPr="00BD116D">
        <w:t>. See figure 4.</w:t>
      </w:r>
      <w:r w:rsidRPr="00BD116D">
        <w:rPr>
          <w:rStyle w:val="FootnoteReference"/>
        </w:rPr>
        <w:footnoteReference w:id="3"/>
      </w:r>
    </w:p>
    <w:p w14:paraId="644B6565" w14:textId="40D05A89" w:rsidR="00A749AB" w:rsidRPr="00BD116D" w:rsidRDefault="00A749AB" w:rsidP="004B039F">
      <w:pPr>
        <w:keepNext/>
        <w:jc w:val="center"/>
      </w:pPr>
      <w:r w:rsidRPr="00BD116D">
        <w:rPr>
          <w:noProof/>
        </w:rPr>
        <w:drawing>
          <wp:inline distT="0" distB="0" distL="0" distR="0" wp14:anchorId="5B2F166F" wp14:editId="4832AC3C">
            <wp:extent cx="4023669" cy="3412050"/>
            <wp:effectExtent l="0" t="0" r="0" b="0"/>
            <wp:docPr id="965246479" name="Picture 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 screenshot of a graph&#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30744" cy="3418049"/>
                    </a:xfrm>
                    <a:prstGeom prst="rect">
                      <a:avLst/>
                    </a:prstGeom>
                    <a:noFill/>
                    <a:ln>
                      <a:noFill/>
                    </a:ln>
                  </pic:spPr>
                </pic:pic>
              </a:graphicData>
            </a:graphic>
          </wp:inline>
        </w:drawing>
      </w:r>
    </w:p>
    <w:p w14:paraId="7AA613EB" w14:textId="101033EB" w:rsidR="00A749AB" w:rsidRPr="00BD116D" w:rsidRDefault="00A749AB" w:rsidP="00A749AB">
      <w:pPr>
        <w:pStyle w:val="Caption"/>
      </w:pPr>
      <w:r w:rsidRPr="00BD116D">
        <w:t xml:space="preserve">Figure </w:t>
      </w:r>
      <w:fldSimple w:instr=" SEQ Figure \* ARABIC ">
        <w:r w:rsidR="00670F6E">
          <w:rPr>
            <w:noProof/>
          </w:rPr>
          <w:t>4</w:t>
        </w:r>
      </w:fldSimple>
      <w:r w:rsidRPr="00BD116D">
        <w:t xml:space="preserve"> https://ourworldindata.org/war-and-peace?insight=relationships-between-countries-have-become-more-peaceful#key-insights</w:t>
      </w:r>
    </w:p>
    <w:p w14:paraId="4DEBB95A" w14:textId="12EC0BED" w:rsidR="00F013F3" w:rsidRPr="00BD116D" w:rsidRDefault="00F013F3" w:rsidP="007942B7">
      <w:r w:rsidRPr="00BD116D">
        <w:t xml:space="preserve">But war and armed conflict aren’t the only things we need to consider when thinking about global patterns and trends in security – the threat of climate change, for example, or the prevalence of male violence against women and girls, are also clearly relevant to </w:t>
      </w:r>
      <w:r w:rsidR="00932188">
        <w:t xml:space="preserve">these </w:t>
      </w:r>
      <w:r w:rsidRPr="00BD116D">
        <w:t>discussion</w:t>
      </w:r>
      <w:r w:rsidR="00932188">
        <w:t>s</w:t>
      </w:r>
      <w:r w:rsidRPr="00BD116D">
        <w:t>.</w:t>
      </w:r>
      <w:r w:rsidRPr="00BD116D">
        <w:rPr>
          <w:rStyle w:val="FootnoteReference"/>
        </w:rPr>
        <w:footnoteReference w:id="4"/>
      </w:r>
      <w:r w:rsidRPr="00BD116D">
        <w:t xml:space="preserve">  </w:t>
      </w:r>
    </w:p>
    <w:p w14:paraId="40E5A836" w14:textId="5B065056" w:rsidR="0030287A" w:rsidRPr="00BD116D" w:rsidRDefault="0030287A" w:rsidP="008A7AFE">
      <w:r w:rsidRPr="00BD116D">
        <w:t>This raises</w:t>
      </w:r>
      <w:r w:rsidR="00F013F3" w:rsidRPr="00BD116D">
        <w:t xml:space="preserve"> important questions for the study of security – security for </w:t>
      </w:r>
      <w:r w:rsidR="00F013F3" w:rsidRPr="00BD116D">
        <w:rPr>
          <w:i/>
          <w:iCs/>
        </w:rPr>
        <w:t>whom</w:t>
      </w:r>
      <w:r w:rsidR="00F013F3" w:rsidRPr="00BD116D">
        <w:t xml:space="preserve">, security from </w:t>
      </w:r>
      <w:r w:rsidR="00F013F3" w:rsidRPr="00BD116D">
        <w:rPr>
          <w:i/>
          <w:iCs/>
        </w:rPr>
        <w:t>what</w:t>
      </w:r>
      <w:r w:rsidR="00F013F3" w:rsidRPr="00BD116D">
        <w:t xml:space="preserve">, what counts as a security issue (and who gets to decide), and how security can be achieved. We’ll return to some of these questions later, focusing on international security in particular.  </w:t>
      </w:r>
    </w:p>
    <w:p w14:paraId="64D1119C" w14:textId="2EE82D02" w:rsidR="00BC0C6A" w:rsidRPr="00BD116D" w:rsidRDefault="00BC0C6A" w:rsidP="00857598">
      <w:pPr>
        <w:pStyle w:val="Heading1"/>
      </w:pPr>
      <w:r w:rsidRPr="00BD116D">
        <w:t>A Political Perspective on crime and security</w:t>
      </w:r>
    </w:p>
    <w:p w14:paraId="49D8585F" w14:textId="77777777" w:rsidR="001F5A8F" w:rsidRPr="00BD116D" w:rsidRDefault="00857598" w:rsidP="00857598">
      <w:r w:rsidRPr="00BD116D">
        <w:t xml:space="preserve">What does a political perspective on crime and security </w:t>
      </w:r>
      <w:r w:rsidR="006F6066" w:rsidRPr="00BD116D">
        <w:t>entail? It could mean lot</w:t>
      </w:r>
      <w:r w:rsidR="005B7D98" w:rsidRPr="00BD116D">
        <w:t>s</w:t>
      </w:r>
      <w:r w:rsidR="006F6066" w:rsidRPr="00BD116D">
        <w:t xml:space="preserve"> of things (remember some of the themes of my first lecture</w:t>
      </w:r>
      <w:r w:rsidRPr="00BD116D">
        <w:t xml:space="preserve"> </w:t>
      </w:r>
      <w:r w:rsidR="006F6066" w:rsidRPr="00BD116D">
        <w:t>– agency,</w:t>
      </w:r>
      <w:r w:rsidR="00E11097" w:rsidRPr="00BD116D">
        <w:t xml:space="preserve"> choice,</w:t>
      </w:r>
      <w:r w:rsidR="006F6066" w:rsidRPr="00BD116D">
        <w:t xml:space="preserve"> collective action, conflict and cooperation</w:t>
      </w:r>
      <w:r w:rsidR="00E11097" w:rsidRPr="00BD116D">
        <w:t>, values, interests</w:t>
      </w:r>
      <w:r w:rsidR="006F6066" w:rsidRPr="00BD116D">
        <w:t xml:space="preserve"> and so on) but one of the core ideas I want to emphasise to frame </w:t>
      </w:r>
      <w:r w:rsidR="005E3662" w:rsidRPr="00BD116D">
        <w:t xml:space="preserve">our </w:t>
      </w:r>
      <w:r w:rsidR="006F6066" w:rsidRPr="00BD116D">
        <w:t xml:space="preserve">discussion of security and crime is the central importance of the state. </w:t>
      </w:r>
    </w:p>
    <w:p w14:paraId="6E44435B" w14:textId="6DCF6EBE" w:rsidR="006F6066" w:rsidRPr="00BD116D" w:rsidRDefault="006F6066" w:rsidP="00857598">
      <w:r w:rsidRPr="00BD116D">
        <w:lastRenderedPageBreak/>
        <w:t xml:space="preserve">This importance will be developed – and criticised – as we move through the themes of the lecture, but a good starting point is the seeming paradox neatly expressed by Hugh White: </w:t>
      </w:r>
    </w:p>
    <w:p w14:paraId="439D6FAE" w14:textId="77777777" w:rsidR="00BC0C6A" w:rsidRPr="00BD116D" w:rsidRDefault="00BC0C6A" w:rsidP="00673BC1">
      <w:pPr>
        <w:pStyle w:val="IntenseQuote"/>
      </w:pPr>
      <w:r w:rsidRPr="00BD116D">
        <w:t>‘…states are both essential for the security of individuals, and also at the same time are among the biggest threats to them.’</w:t>
      </w:r>
      <w:r w:rsidRPr="00BD116D">
        <w:rPr>
          <w:rStyle w:val="FootnoteReference"/>
        </w:rPr>
        <w:footnoteReference w:id="5"/>
      </w:r>
    </w:p>
    <w:p w14:paraId="411C75DB" w14:textId="2A752FCE" w:rsidR="006F6066" w:rsidRPr="00BD116D" w:rsidRDefault="00672DB8" w:rsidP="006F6066">
      <w:r w:rsidRPr="00BD116D">
        <w:t>This captures a lot of the complexities of the issues we’re looking at: the source of threats, possible protectors from those threats, and who security is for, i.e. who is to be protected (individuals, in this formulation, but this can also be debated</w:t>
      </w:r>
      <w:r w:rsidR="005014E9">
        <w:t xml:space="preserve"> – as we’ll see later, there are disagreements over whether is it the state itself that needs to be secured, or individuals, or something else entirely</w:t>
      </w:r>
      <w:r w:rsidRPr="00BD116D">
        <w:t>)</w:t>
      </w:r>
      <w:r w:rsidR="002A79AC" w:rsidRPr="00BD116D">
        <w:t>.</w:t>
      </w:r>
      <w:r w:rsidRPr="00BD116D">
        <w:t xml:space="preserve"> </w:t>
      </w:r>
    </w:p>
    <w:p w14:paraId="2FFF785B" w14:textId="17D628D0" w:rsidR="000755EA" w:rsidRPr="00BD116D" w:rsidRDefault="002A79AC" w:rsidP="006F6066">
      <w:r w:rsidRPr="00BD116D">
        <w:t xml:space="preserve">The idea that </w:t>
      </w:r>
      <w:r w:rsidR="002C432B">
        <w:t xml:space="preserve">the </w:t>
      </w:r>
      <w:r w:rsidRPr="00BD116D">
        <w:t>state can be both a source of and a protector from insecurity has a long tradition</w:t>
      </w:r>
      <w:r w:rsidR="000755EA" w:rsidRPr="00BD116D">
        <w:t xml:space="preserve"> and a historically informed perspective tells us that the state has had both pacifying effects domestically and has been capable of organised violence on a horrifying scale.</w:t>
      </w:r>
      <w:r w:rsidR="000755EA" w:rsidRPr="00BD116D">
        <w:rPr>
          <w:rStyle w:val="FootnoteReference"/>
        </w:rPr>
        <w:footnoteReference w:id="6"/>
      </w:r>
    </w:p>
    <w:p w14:paraId="2FA88CE6" w14:textId="59DE08E7" w:rsidR="006F6066" w:rsidRPr="00BD116D" w:rsidRDefault="000755EA" w:rsidP="006F6066">
      <w:r w:rsidRPr="00BD116D">
        <w:t>T</w:t>
      </w:r>
      <w:r w:rsidR="002A79AC" w:rsidRPr="00BD116D">
        <w:t>he scholar Charles Tilly</w:t>
      </w:r>
      <w:r w:rsidRPr="00BD116D">
        <w:t xml:space="preserve"> famously </w:t>
      </w:r>
      <w:r w:rsidR="002A79AC" w:rsidRPr="00BD116D">
        <w:t xml:space="preserve">compared the state to a protection racket: </w:t>
      </w:r>
    </w:p>
    <w:p w14:paraId="2CD9A46F" w14:textId="77777777" w:rsidR="002A79AC" w:rsidRPr="00BD116D" w:rsidRDefault="00BC0C6A" w:rsidP="002A79AC">
      <w:pPr>
        <w:pStyle w:val="IntenseQuote"/>
      </w:pPr>
      <w:r w:rsidRPr="00BD116D">
        <w:rPr>
          <w:lang w:eastAsia="en-GB"/>
        </w:rPr>
        <w:t>“If protection rackets represent organized crime at its smoothest, then war making and state making – quintessential protection rackets with the advantage of legitimacy – qualify as our largest examples of organized crime. Without branding all generals and statesmen as murderers or thieves, I want to urge the value of that analogy. At least for the European experience of the past few centuries, a portrait of war makers and state makers as coercive and self-seeking entrepreneurs bears a far greater resemblance to the facts than do its chief alternatives: the idea of a social contract, the idea of an open market in which operators of armies and states offer services to willing consumers, the idea of a society whose shared norms and expectations call forth a certain kind of government.”</w:t>
      </w:r>
      <w:r w:rsidRPr="00BD116D">
        <w:rPr>
          <w:rStyle w:val="FootnoteReference"/>
        </w:rPr>
        <w:footnoteReference w:id="7"/>
      </w:r>
    </w:p>
    <w:p w14:paraId="14F84CCA" w14:textId="034DEBFB" w:rsidR="00673BC1" w:rsidRPr="00BD116D" w:rsidRDefault="00673BC1" w:rsidP="00673BC1">
      <w:r w:rsidRPr="00BD116D">
        <w:t>From the comfort of the relative safety and security of a</w:t>
      </w:r>
      <w:r w:rsidR="00863720" w:rsidRPr="00BD116D">
        <w:t xml:space="preserve"> modern </w:t>
      </w:r>
      <w:r w:rsidRPr="00BD116D">
        <w:t>western European state where it’s almost a cliché to affirm that the first role of government is to protect its citizens, a wider understanding (historically and geographically) of the politics of crime and security has to also consider the extent to which state</w:t>
      </w:r>
      <w:r w:rsidR="002737E4" w:rsidRPr="00BD116D">
        <w:t>s</w:t>
      </w:r>
      <w:r w:rsidRPr="00BD116D">
        <w:t xml:space="preserve"> can be both security-provider</w:t>
      </w:r>
      <w:r w:rsidR="002737E4" w:rsidRPr="00BD116D">
        <w:t>s</w:t>
      </w:r>
      <w:r w:rsidRPr="00BD116D">
        <w:t xml:space="preserve"> and source</w:t>
      </w:r>
      <w:r w:rsidR="002737E4" w:rsidRPr="00BD116D">
        <w:t>s</w:t>
      </w:r>
      <w:r w:rsidRPr="00BD116D">
        <w:t xml:space="preserve"> of insecurity and perpetrator</w:t>
      </w:r>
      <w:r w:rsidR="002737E4" w:rsidRPr="00BD116D">
        <w:t>s</w:t>
      </w:r>
      <w:r w:rsidRPr="00BD116D">
        <w:t xml:space="preserve"> </w:t>
      </w:r>
      <w:r w:rsidR="002737E4" w:rsidRPr="00BD116D">
        <w:t xml:space="preserve">of </w:t>
      </w:r>
      <w:r w:rsidRPr="00BD116D">
        <w:t>crimes as well as enforcer</w:t>
      </w:r>
      <w:r w:rsidR="002737E4" w:rsidRPr="00BD116D">
        <w:t>s</w:t>
      </w:r>
      <w:r w:rsidRPr="00BD116D">
        <w:t xml:space="preserve"> of law and order</w:t>
      </w:r>
      <w:r w:rsidR="002737E4" w:rsidRPr="00BD116D">
        <w:t>.</w:t>
      </w:r>
      <w:r w:rsidRPr="00BD116D">
        <w:t xml:space="preserve">  </w:t>
      </w:r>
    </w:p>
    <w:p w14:paraId="48F54BA2" w14:textId="77777777" w:rsidR="00B26579" w:rsidRPr="00BD116D" w:rsidRDefault="00B26579" w:rsidP="00B26579">
      <w:pPr>
        <w:pStyle w:val="Heading1"/>
      </w:pPr>
      <w:r w:rsidRPr="00BD116D">
        <w:t>Political Crimes and Criminal Politics</w:t>
      </w:r>
    </w:p>
    <w:p w14:paraId="523394BF" w14:textId="7A6CD47E" w:rsidR="0009626A" w:rsidRPr="00BD116D" w:rsidRDefault="0009626A" w:rsidP="00B26579">
      <w:r w:rsidRPr="00BD116D">
        <w:t>So, a political perspective on crime and security has to acknowledge the many complex ways in which political authority (formal and informal), criminal activity</w:t>
      </w:r>
      <w:r w:rsidR="00E4460C" w:rsidRPr="00BD116D">
        <w:t xml:space="preserve"> (by state and non-state actors) and security provision (by public and private actors) can overlap without clear</w:t>
      </w:r>
      <w:r w:rsidR="00EA3525" w:rsidRPr="00BD116D">
        <w:t>-</w:t>
      </w:r>
      <w:r w:rsidR="00E4460C" w:rsidRPr="00BD116D">
        <w:t xml:space="preserve">cut distinctions. </w:t>
      </w:r>
      <w:r w:rsidR="00EA3525" w:rsidRPr="00BD116D">
        <w:lastRenderedPageBreak/>
        <w:t xml:space="preserve">We can’t cover all the dimensions of this in one lecture, but here are a few broad ideas and themes </w:t>
      </w:r>
      <w:r w:rsidR="009C1A71">
        <w:t xml:space="preserve">for you </w:t>
      </w:r>
      <w:r w:rsidR="00EA3525" w:rsidRPr="00BD116D">
        <w:t>to think</w:t>
      </w:r>
      <w:r w:rsidR="00E4460C" w:rsidRPr="00BD116D">
        <w:t xml:space="preserve"> </w:t>
      </w:r>
      <w:r w:rsidR="00EA3525" w:rsidRPr="00BD116D">
        <w:t>about.</w:t>
      </w:r>
    </w:p>
    <w:p w14:paraId="6EDED7D2" w14:textId="5158AEB7" w:rsidR="002737E4" w:rsidRPr="00BD116D" w:rsidRDefault="002737E4" w:rsidP="00B26579">
      <w:r w:rsidRPr="00BD116D">
        <w:t xml:space="preserve">State crimes and state violence </w:t>
      </w:r>
    </w:p>
    <w:p w14:paraId="62DDE39D" w14:textId="0B11FED6" w:rsidR="00C9678C" w:rsidRPr="00BD116D" w:rsidRDefault="00C9678C" w:rsidP="00C9678C">
      <w:pPr>
        <w:pStyle w:val="ListParagraph"/>
        <w:numPr>
          <w:ilvl w:val="0"/>
          <w:numId w:val="5"/>
        </w:numPr>
      </w:pPr>
      <w:r w:rsidRPr="00BD116D">
        <w:t xml:space="preserve">States are among the worst perpetrators of crimes, from corruption and bribery to human rights abuses, wars of </w:t>
      </w:r>
      <w:r w:rsidR="00427D51" w:rsidRPr="00BD116D">
        <w:t>aggression</w:t>
      </w:r>
      <w:r w:rsidRPr="00BD116D">
        <w:t xml:space="preserve"> and crimes against humanity</w:t>
      </w:r>
      <w:r w:rsidRPr="00BD116D">
        <w:rPr>
          <w:rFonts w:ascii="Arial" w:hAnsi="Arial" w:cs="Arial"/>
        </w:rPr>
        <w:t>​</w:t>
      </w:r>
      <w:r w:rsidR="00CF10FE" w:rsidRPr="00BD116D">
        <w:rPr>
          <w:rStyle w:val="FootnoteReference"/>
          <w:rFonts w:ascii="Arial" w:hAnsi="Arial" w:cs="Arial"/>
        </w:rPr>
        <w:footnoteReference w:id="8"/>
      </w:r>
    </w:p>
    <w:p w14:paraId="7571E5EC" w14:textId="3771A5A3" w:rsidR="00C9678C" w:rsidRPr="00BD116D" w:rsidRDefault="00C9678C" w:rsidP="00427D51">
      <w:pPr>
        <w:pStyle w:val="ListParagraph"/>
        <w:numPr>
          <w:ilvl w:val="0"/>
          <w:numId w:val="5"/>
        </w:numPr>
      </w:pPr>
      <w:r w:rsidRPr="00BD116D">
        <w:t>States also use and exploit organised crime as instruments of statecraft to serve their foreign policy objectives</w:t>
      </w:r>
      <w:r w:rsidRPr="00BD116D">
        <w:rPr>
          <w:rFonts w:ascii="Arial" w:hAnsi="Arial" w:cs="Arial"/>
        </w:rPr>
        <w:t>​</w:t>
      </w:r>
    </w:p>
    <w:p w14:paraId="095188D7" w14:textId="561F3599" w:rsidR="00427D51" w:rsidRPr="00BD116D" w:rsidRDefault="00D84CCF" w:rsidP="00427D51">
      <w:pPr>
        <w:pStyle w:val="ListParagraph"/>
        <w:numPr>
          <w:ilvl w:val="1"/>
          <w:numId w:val="5"/>
        </w:numPr>
      </w:pPr>
      <w:r w:rsidRPr="00BD116D">
        <w:t>For current example</w:t>
      </w:r>
      <w:r w:rsidR="000129C3">
        <w:t>s</w:t>
      </w:r>
      <w:r w:rsidRPr="00BD116D">
        <w:t xml:space="preserve"> see </w:t>
      </w:r>
      <w:r w:rsidR="00427D51" w:rsidRPr="00BD116D">
        <w:t>Galeotti</w:t>
      </w:r>
      <w:r w:rsidR="00427D51" w:rsidRPr="00BD116D">
        <w:rPr>
          <w:rStyle w:val="FootnoteReference"/>
        </w:rPr>
        <w:footnoteReference w:id="9"/>
      </w:r>
      <w:r w:rsidR="00427D51" w:rsidRPr="00BD116D">
        <w:t xml:space="preserve"> on Russia, Mailey on Iran</w:t>
      </w:r>
      <w:r w:rsidR="00427D51" w:rsidRPr="00BD116D">
        <w:rPr>
          <w:rStyle w:val="FootnoteReference"/>
        </w:rPr>
        <w:footnoteReference w:id="10"/>
      </w:r>
    </w:p>
    <w:p w14:paraId="2D8E75D6" w14:textId="7CC885DE" w:rsidR="00C9678C" w:rsidRPr="00BD116D" w:rsidRDefault="00C9678C" w:rsidP="00427D51">
      <w:pPr>
        <w:pStyle w:val="ListParagraph"/>
        <w:numPr>
          <w:ilvl w:val="0"/>
          <w:numId w:val="1"/>
        </w:numPr>
      </w:pPr>
      <w:r w:rsidRPr="00BD116D">
        <w:t>In some cases, the state and organised crime are so closely linked that they have been labelled as 'Mafia States' (e.g. Russia</w:t>
      </w:r>
      <w:r w:rsidR="00EB1E8A" w:rsidRPr="00BD116D">
        <w:rPr>
          <w:rStyle w:val="FootnoteReference"/>
        </w:rPr>
        <w:footnoteReference w:id="11"/>
      </w:r>
      <w:r w:rsidRPr="00BD116D">
        <w:t>)</w:t>
      </w:r>
    </w:p>
    <w:p w14:paraId="0F4E6C49" w14:textId="5B99C2E6" w:rsidR="00002B8F" w:rsidRPr="00BD116D" w:rsidRDefault="00002B8F" w:rsidP="00002B8F">
      <w:r w:rsidRPr="00BD116D">
        <w:t>Criminal politics</w:t>
      </w:r>
    </w:p>
    <w:p w14:paraId="3A61B90D" w14:textId="68FE2F62" w:rsidR="00D6437D" w:rsidRPr="00BD116D" w:rsidRDefault="002B63B2" w:rsidP="00D6437D">
      <w:pPr>
        <w:pStyle w:val="ListParagraph"/>
        <w:numPr>
          <w:ilvl w:val="0"/>
          <w:numId w:val="1"/>
        </w:numPr>
      </w:pPr>
      <w:r>
        <w:t xml:space="preserve">Barnes has argued that some criminal organisations, in some contexts, behave in ways that can in fact be very similar to how we traditionally think of the role of the state, and in particular </w:t>
      </w:r>
      <w:r w:rsidR="00D6437D">
        <w:t>through the “the accumulation of the means of violence”, thereby attaining a high level of political authority.</w:t>
      </w:r>
      <w:r w:rsidR="00D6437D" w:rsidRPr="00BD116D">
        <w:rPr>
          <w:rStyle w:val="FootnoteReference"/>
        </w:rPr>
        <w:footnoteReference w:id="12"/>
      </w:r>
    </w:p>
    <w:p w14:paraId="4C33795D" w14:textId="31E3E627" w:rsidR="002B63B2" w:rsidRDefault="00D6437D" w:rsidP="002E6868">
      <w:pPr>
        <w:pStyle w:val="ListParagraph"/>
        <w:numPr>
          <w:ilvl w:val="0"/>
          <w:numId w:val="1"/>
        </w:numPr>
      </w:pPr>
      <w:r>
        <w:t xml:space="preserve">He also notes how criminal organisations can develop both competitive and collaborative relationships with the state, further complicating how we understand the links between politics, the state, and crime.  </w:t>
      </w:r>
    </w:p>
    <w:p w14:paraId="7F9EABAE" w14:textId="6E468DE6" w:rsidR="00002B8F" w:rsidRPr="00BD116D" w:rsidRDefault="00002B8F" w:rsidP="00002B8F">
      <w:r w:rsidRPr="00BD116D">
        <w:t xml:space="preserve">Criminal governance </w:t>
      </w:r>
    </w:p>
    <w:p w14:paraId="530F27F4" w14:textId="522EB70B" w:rsidR="00734580" w:rsidRDefault="00734580" w:rsidP="00E57A85">
      <w:pPr>
        <w:pStyle w:val="ListParagraph"/>
        <w:numPr>
          <w:ilvl w:val="0"/>
          <w:numId w:val="1"/>
        </w:numPr>
      </w:pPr>
      <w:r>
        <w:t>In a similar vein of research, Lessing has shown how there are parts of the world, especially but only in urban areas in the developing world, where it is criminal actors who govern the population not the state, undermining what is usually considered the defining feature of the state – a legitimate monopoly on the use of force within a territory.</w:t>
      </w:r>
    </w:p>
    <w:p w14:paraId="6C864061" w14:textId="70F064F4" w:rsidR="00002B8F" w:rsidRPr="00BD116D" w:rsidRDefault="00734580" w:rsidP="002B3564">
      <w:pPr>
        <w:pStyle w:val="ListParagraph"/>
        <w:numPr>
          <w:ilvl w:val="0"/>
          <w:numId w:val="1"/>
        </w:numPr>
      </w:pPr>
      <w:r>
        <w:t>As with Barnes’ argument, Lessing also emphasises that there is no binary division between state governance and criminal governance in these areas; rather, they exist alongside each other, albeit in a fractious way: “</w:t>
      </w:r>
      <w:r w:rsidR="00E57A85" w:rsidRPr="00BD116D">
        <w:t xml:space="preserve">residents may pay taxes, vote, and even inform on gangs as punishment for abusive </w:t>
      </w:r>
      <w:proofErr w:type="spellStart"/>
      <w:r w:rsidR="00E57A85" w:rsidRPr="00BD116D">
        <w:t>behavior</w:t>
      </w:r>
      <w:proofErr w:type="spellEnd"/>
      <w:r w:rsidR="00E57A85" w:rsidRPr="00BD116D">
        <w:t>. Criminal governance flourishes in pockets of low state presence, but ones that states can generally enter at will, if not always without violence.</w:t>
      </w:r>
      <w:r w:rsidR="00D84CCF" w:rsidRPr="00BD116D">
        <w:t>”</w:t>
      </w:r>
      <w:r w:rsidR="00D84CCF" w:rsidRPr="00BD116D">
        <w:rPr>
          <w:rStyle w:val="FootnoteReference"/>
        </w:rPr>
        <w:footnoteReference w:id="13"/>
      </w:r>
      <w:r w:rsidR="00D84CCF" w:rsidRPr="00BD116D">
        <w:t xml:space="preserve">  </w:t>
      </w:r>
    </w:p>
    <w:p w14:paraId="36358A25" w14:textId="7E1C9D10" w:rsidR="001A6349" w:rsidRPr="00BD116D" w:rsidRDefault="00524C40" w:rsidP="001A6349">
      <w:r w:rsidRPr="006B5CF2">
        <w:t>The c</w:t>
      </w:r>
      <w:r w:rsidR="001A6349" w:rsidRPr="006B5CF2">
        <w:t>rime-conflict nexus</w:t>
      </w:r>
    </w:p>
    <w:p w14:paraId="0677958B" w14:textId="3F367F3D" w:rsidR="00D56A87" w:rsidRDefault="00D56A87" w:rsidP="001A6349">
      <w:pPr>
        <w:pStyle w:val="ListParagraph"/>
        <w:numPr>
          <w:ilvl w:val="0"/>
          <w:numId w:val="1"/>
        </w:numPr>
      </w:pPr>
      <w:r>
        <w:t xml:space="preserve">Research also tells us that </w:t>
      </w:r>
      <w:r w:rsidR="00933A19">
        <w:t>that crime and (political) conflict are often found alongside each other, not least in the ways that non-state armed actors – rebels, terrorist organisations – fund their activities.</w:t>
      </w:r>
      <w:r w:rsidR="002467E1">
        <w:rPr>
          <w:rStyle w:val="FootnoteReference"/>
        </w:rPr>
        <w:footnoteReference w:id="14"/>
      </w:r>
      <w:r w:rsidR="00933A19">
        <w:t xml:space="preserve"> </w:t>
      </w:r>
    </w:p>
    <w:p w14:paraId="052030A9" w14:textId="14CBBAB6" w:rsidR="00933A19" w:rsidRDefault="00933A19" w:rsidP="001A6349">
      <w:pPr>
        <w:pStyle w:val="ListParagraph"/>
        <w:numPr>
          <w:ilvl w:val="0"/>
          <w:numId w:val="1"/>
        </w:numPr>
      </w:pPr>
      <w:r>
        <w:t xml:space="preserve">Greed vs grievance: There is a long running debate in civil war research on the primary </w:t>
      </w:r>
      <w:r w:rsidR="007C614E">
        <w:t xml:space="preserve">causes of and </w:t>
      </w:r>
      <w:r>
        <w:t xml:space="preserve">motives behind rebellion, with some seeing it as essentially a form of </w:t>
      </w:r>
      <w:r>
        <w:lastRenderedPageBreak/>
        <w:t>enrichment (greed) while others focus more on the political demands rebels make when, for example, they are excluded from power (grievance).</w:t>
      </w:r>
      <w:r>
        <w:rPr>
          <w:rStyle w:val="FootnoteReference"/>
        </w:rPr>
        <w:footnoteReference w:id="15"/>
      </w:r>
      <w:r>
        <w:t xml:space="preserve"> </w:t>
      </w:r>
    </w:p>
    <w:p w14:paraId="5718E062" w14:textId="6E3F4C87" w:rsidR="00DF02AC" w:rsidRDefault="005F45D2" w:rsidP="002467E1">
      <w:r>
        <w:t xml:space="preserve">And now all this happens in the context of a highly globalised economy, with all this entails for the potential of </w:t>
      </w:r>
      <w:r w:rsidR="00DF02AC">
        <w:t xml:space="preserve">transnational organised </w:t>
      </w:r>
      <w:r>
        <w:t>crime to fuel conflict and vice versa (note for example Afghanistan and Myanmar on this map</w:t>
      </w:r>
      <w:r w:rsidR="00306754">
        <w:t xml:space="preserve"> from 2010, and the flow of weapons from Ukraine to East and Central Africa</w:t>
      </w:r>
      <w:r>
        <w:t>):</w:t>
      </w:r>
      <w:r w:rsidR="00DF02AC">
        <w:rPr>
          <w:rStyle w:val="FootnoteReference"/>
        </w:rPr>
        <w:footnoteReference w:id="16"/>
      </w:r>
      <w:r>
        <w:t xml:space="preserve"> </w:t>
      </w:r>
    </w:p>
    <w:p w14:paraId="1B7EBD7B" w14:textId="77777777" w:rsidR="005F45D2" w:rsidRDefault="005F45D2" w:rsidP="005F45D2">
      <w:pPr>
        <w:keepNext/>
      </w:pPr>
      <w:r w:rsidRPr="005F45D2">
        <w:t> </w:t>
      </w:r>
      <w:r w:rsidRPr="005F45D2">
        <w:rPr>
          <w:noProof/>
        </w:rPr>
        <w:drawing>
          <wp:inline distT="0" distB="0" distL="0" distR="0" wp14:anchorId="6B34F6AF" wp14:editId="6306327B">
            <wp:extent cx="5731510" cy="3645535"/>
            <wp:effectExtent l="0" t="0" r="2540" b="0"/>
            <wp:docPr id="1105451384" name="Picture 10" descr="A map of the world with different colored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A map of the world with different colored arrow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645535"/>
                    </a:xfrm>
                    <a:prstGeom prst="rect">
                      <a:avLst/>
                    </a:prstGeom>
                    <a:noFill/>
                    <a:ln>
                      <a:noFill/>
                    </a:ln>
                  </pic:spPr>
                </pic:pic>
              </a:graphicData>
            </a:graphic>
          </wp:inline>
        </w:drawing>
      </w:r>
    </w:p>
    <w:p w14:paraId="23665AFD" w14:textId="592068A7" w:rsidR="005F45D2" w:rsidRPr="00BD116D" w:rsidRDefault="005F45D2" w:rsidP="005F45D2">
      <w:pPr>
        <w:pStyle w:val="Caption"/>
      </w:pPr>
      <w:r>
        <w:t xml:space="preserve">Figure </w:t>
      </w:r>
      <w:fldSimple w:instr=" SEQ Figure \* ARABIC ">
        <w:r w:rsidR="00670F6E">
          <w:rPr>
            <w:noProof/>
          </w:rPr>
          <w:t>5</w:t>
        </w:r>
      </w:fldSimple>
      <w:r>
        <w:t xml:space="preserve"> </w:t>
      </w:r>
      <w:r w:rsidRPr="00281AD6">
        <w:t>‘The Globalization of Crime - A Transnational Organized Crime Threat Assessment’. United Nations Office on Drugs and Crime, 2010. //www.unodc.org/unodc/en/data-and-analysis/tocta-2010.html.</w:t>
      </w:r>
    </w:p>
    <w:p w14:paraId="7FEB625F" w14:textId="77777777" w:rsidR="00524C40" w:rsidRPr="00BD116D" w:rsidRDefault="00524C40" w:rsidP="00B26579"/>
    <w:p w14:paraId="66DD2909" w14:textId="462C5A2A" w:rsidR="00E356DE" w:rsidRPr="00BD116D" w:rsidRDefault="00BC0C6A" w:rsidP="00E356DE">
      <w:pPr>
        <w:pStyle w:val="Heading1"/>
      </w:pPr>
      <w:r w:rsidRPr="00BD116D">
        <w:t xml:space="preserve">What is </w:t>
      </w:r>
      <w:r w:rsidR="00FF6D4F" w:rsidRPr="00BD116D">
        <w:t xml:space="preserve">(international) </w:t>
      </w:r>
      <w:r w:rsidRPr="00BD116D">
        <w:t xml:space="preserve">security? </w:t>
      </w:r>
    </w:p>
    <w:p w14:paraId="2E2C3F82" w14:textId="1C653107" w:rsidR="00012D94" w:rsidRPr="00BD116D" w:rsidRDefault="00012D94" w:rsidP="00E356DE">
      <w:r w:rsidRPr="00BD116D">
        <w:t xml:space="preserve">Having set out some of the broad contours of what a political perspective on crime and security involves, we will now focus on some of the key ideas and debates in international security – and while this may seem to suggest a concern with security </w:t>
      </w:r>
      <w:r w:rsidRPr="00BD116D">
        <w:rPr>
          <w:i/>
          <w:iCs/>
        </w:rPr>
        <w:t>between</w:t>
      </w:r>
      <w:r w:rsidRPr="00BD116D">
        <w:t xml:space="preserve"> states, as we’ve already seen in could be problematic to draw a clear line between what happens between states and what happens </w:t>
      </w:r>
      <w:r w:rsidRPr="00BD116D">
        <w:rPr>
          <w:i/>
          <w:iCs/>
        </w:rPr>
        <w:t>within</w:t>
      </w:r>
      <w:r w:rsidRPr="00BD116D">
        <w:t xml:space="preserve"> states when it comes to </w:t>
      </w:r>
      <w:r w:rsidR="00D057FC" w:rsidRPr="00BD116D">
        <w:t xml:space="preserve">the politics of </w:t>
      </w:r>
      <w:r w:rsidRPr="00BD116D">
        <w:t xml:space="preserve">crime and security. </w:t>
      </w:r>
    </w:p>
    <w:p w14:paraId="7FAD7A15" w14:textId="439B51B8" w:rsidR="00BC0C6A" w:rsidRPr="00BD116D" w:rsidRDefault="00205B25" w:rsidP="00E356DE">
      <w:r w:rsidRPr="00BD116D">
        <w:t>Some of the key questions that have preoccupied scholars of security include:</w:t>
      </w:r>
      <w:r w:rsidRPr="00BD116D">
        <w:rPr>
          <w:rStyle w:val="FootnoteReference"/>
        </w:rPr>
        <w:footnoteReference w:id="17"/>
      </w:r>
      <w:r w:rsidRPr="00BD116D">
        <w:t xml:space="preserve"> </w:t>
      </w:r>
    </w:p>
    <w:p w14:paraId="6FCACADD" w14:textId="77777777" w:rsidR="00205B25" w:rsidRPr="00BD116D" w:rsidRDefault="00205B25" w:rsidP="00205B25">
      <w:pPr>
        <w:pStyle w:val="ListParagraph"/>
        <w:numPr>
          <w:ilvl w:val="0"/>
          <w:numId w:val="7"/>
        </w:numPr>
      </w:pPr>
      <w:r w:rsidRPr="00BD116D">
        <w:t>What is security?</w:t>
      </w:r>
      <w:r w:rsidRPr="00BD116D">
        <w:rPr>
          <w:rFonts w:ascii="Arial" w:hAnsi="Arial" w:cs="Arial"/>
        </w:rPr>
        <w:t>​</w:t>
      </w:r>
    </w:p>
    <w:p w14:paraId="51D58223" w14:textId="77777777" w:rsidR="00205B25" w:rsidRPr="00BD116D" w:rsidRDefault="00205B25" w:rsidP="00205B25">
      <w:pPr>
        <w:pStyle w:val="ListParagraph"/>
        <w:numPr>
          <w:ilvl w:val="0"/>
          <w:numId w:val="7"/>
        </w:numPr>
      </w:pPr>
      <w:r w:rsidRPr="00BD116D">
        <w:lastRenderedPageBreak/>
        <w:t>Whose security are we talking about?</w:t>
      </w:r>
      <w:r w:rsidRPr="00BD116D">
        <w:rPr>
          <w:rFonts w:ascii="Arial" w:hAnsi="Arial" w:cs="Arial"/>
        </w:rPr>
        <w:t>​</w:t>
      </w:r>
    </w:p>
    <w:p w14:paraId="06EE4A51" w14:textId="77777777" w:rsidR="00205B25" w:rsidRPr="00BD116D" w:rsidRDefault="00205B25" w:rsidP="00205B25">
      <w:pPr>
        <w:pStyle w:val="ListParagraph"/>
        <w:numPr>
          <w:ilvl w:val="0"/>
          <w:numId w:val="7"/>
        </w:numPr>
      </w:pPr>
      <w:r w:rsidRPr="00BD116D">
        <w:t xml:space="preserve">What counts as a security issue? </w:t>
      </w:r>
      <w:r w:rsidRPr="00BD116D">
        <w:rPr>
          <w:rFonts w:ascii="Arial" w:hAnsi="Arial" w:cs="Arial"/>
        </w:rPr>
        <w:t>​</w:t>
      </w:r>
    </w:p>
    <w:p w14:paraId="7EA5B17B" w14:textId="77777777" w:rsidR="00205B25" w:rsidRPr="00BD116D" w:rsidRDefault="00205B25" w:rsidP="00205B25">
      <w:pPr>
        <w:pStyle w:val="ListParagraph"/>
        <w:numPr>
          <w:ilvl w:val="0"/>
          <w:numId w:val="7"/>
        </w:numPr>
      </w:pPr>
      <w:r w:rsidRPr="00BD116D">
        <w:t>How can security be achieved?</w:t>
      </w:r>
    </w:p>
    <w:p w14:paraId="03A95DD7" w14:textId="224FB977" w:rsidR="00205B25" w:rsidRPr="00205B25" w:rsidRDefault="00205B25" w:rsidP="00205B25">
      <w:r w:rsidRPr="00205B25">
        <w:t xml:space="preserve">Security is an </w:t>
      </w:r>
      <w:r w:rsidRPr="00BD116D">
        <w:t>‘</w:t>
      </w:r>
      <w:r w:rsidRPr="00205B25">
        <w:t>essentially contested</w:t>
      </w:r>
      <w:r w:rsidRPr="00BD116D">
        <w:t>’</w:t>
      </w:r>
      <w:r w:rsidRPr="00205B25">
        <w:t xml:space="preserve"> concept</w:t>
      </w:r>
      <w:r w:rsidR="00812F6C" w:rsidRPr="00BD116D">
        <w:rPr>
          <w:rStyle w:val="FootnoteReference"/>
        </w:rPr>
        <w:footnoteReference w:id="18"/>
      </w:r>
      <w:r w:rsidRPr="00205B25">
        <w:t xml:space="preserve"> ... and unavoidably political</w:t>
      </w:r>
      <w:r w:rsidR="004440AB" w:rsidRPr="00BD116D">
        <w:t xml:space="preserve">. It has been said that security is an unending political argument about what matters.  </w:t>
      </w:r>
      <w:r w:rsidRPr="00205B25">
        <w:rPr>
          <w:rFonts w:ascii="Arial" w:hAnsi="Arial" w:cs="Arial"/>
        </w:rPr>
        <w:t>​</w:t>
      </w:r>
    </w:p>
    <w:p w14:paraId="6F532852" w14:textId="29B17FAC" w:rsidR="00205B25" w:rsidRPr="00205B25" w:rsidRDefault="00205B25" w:rsidP="004440AB">
      <w:pPr>
        <w:tabs>
          <w:tab w:val="num" w:pos="720"/>
        </w:tabs>
      </w:pPr>
      <w:r w:rsidRPr="00205B25">
        <w:t>A common working definition</w:t>
      </w:r>
      <w:r w:rsidR="004440AB" w:rsidRPr="00BD116D">
        <w:t xml:space="preserve"> used by International Relations scholars is that security is “</w:t>
      </w:r>
      <w:r w:rsidRPr="00205B25">
        <w:t>the alleviation of threats to cherished values</w:t>
      </w:r>
      <w:r w:rsidR="004440AB" w:rsidRPr="00BD116D">
        <w:t xml:space="preserve">”. Some add that this also has </w:t>
      </w:r>
      <w:r w:rsidRPr="00205B25">
        <w:t xml:space="preserve">subjective aspects – </w:t>
      </w:r>
      <w:r w:rsidR="004440AB" w:rsidRPr="00BD116D">
        <w:t xml:space="preserve">that is, an </w:t>
      </w:r>
      <w:r w:rsidRPr="00205B25">
        <w:t xml:space="preserve">absence of </w:t>
      </w:r>
      <w:r w:rsidRPr="00205B25">
        <w:rPr>
          <w:i/>
          <w:iCs/>
        </w:rPr>
        <w:t>fear</w:t>
      </w:r>
      <w:r w:rsidR="004440AB" w:rsidRPr="00BD116D">
        <w:t xml:space="preserve"> of threats as well as the alleviation of an objective threat. But this definition immediately raises more questions than it answers: W</w:t>
      </w:r>
      <w:r w:rsidRPr="00205B25">
        <w:t>hat threats? What values? Whose values?</w:t>
      </w:r>
      <w:r w:rsidRPr="00205B25">
        <w:rPr>
          <w:rFonts w:ascii="Arial" w:hAnsi="Arial" w:cs="Arial"/>
        </w:rPr>
        <w:t>​</w:t>
      </w:r>
      <w:r w:rsidR="004440AB" w:rsidRPr="00BD116D">
        <w:rPr>
          <w:rFonts w:cs="Arial"/>
        </w:rPr>
        <w:t xml:space="preserve"> The political nature of security becomes clear when we start to think about the trade-offs between security and other things we care about such as balancing security and freedom, a fear of external aggressors versus fear of the state, a desire for the government to spend public money on things like health and education versus investment in defence … and so on.</w:t>
      </w:r>
    </w:p>
    <w:p w14:paraId="553F3ABB" w14:textId="35AD0E19" w:rsidR="00205B25" w:rsidRPr="00BD116D" w:rsidRDefault="00205B25" w:rsidP="004440AB">
      <w:pPr>
        <w:tabs>
          <w:tab w:val="num" w:pos="720"/>
        </w:tabs>
      </w:pPr>
      <w:r w:rsidRPr="00205B25">
        <w:t>A key debate in security studies has been over whether security should be narrowly or broadly defined</w:t>
      </w:r>
      <w:r w:rsidR="004440AB" w:rsidRPr="00BD116D">
        <w:t xml:space="preserve">. Essentially, these are debates over </w:t>
      </w:r>
      <w:r w:rsidRPr="00205B25">
        <w:t xml:space="preserve">the </w:t>
      </w:r>
      <w:r w:rsidRPr="00205B25">
        <w:rPr>
          <w:b/>
          <w:bCs/>
        </w:rPr>
        <w:t>'referent object'</w:t>
      </w:r>
      <w:r w:rsidRPr="00205B25">
        <w:t xml:space="preserve"> of security – who or what is being secured</w:t>
      </w:r>
      <w:r w:rsidR="004440AB" w:rsidRPr="00BD116D">
        <w:t>.</w:t>
      </w:r>
    </w:p>
    <w:p w14:paraId="367514D9" w14:textId="7A1F101A" w:rsidR="0061772C" w:rsidRPr="00205B25" w:rsidRDefault="0061772C" w:rsidP="004440AB">
      <w:pPr>
        <w:tabs>
          <w:tab w:val="num" w:pos="720"/>
        </w:tabs>
      </w:pPr>
      <w:r w:rsidRPr="00BD116D">
        <w:t>Traditionally</w:t>
      </w:r>
      <w:r w:rsidR="00E76011" w:rsidRPr="00BD116D">
        <w:t xml:space="preserve"> (within IR)</w:t>
      </w:r>
      <w:r w:rsidRPr="00BD116D">
        <w:t xml:space="preserve">, a narrow perspective on security has </w:t>
      </w:r>
      <w:r w:rsidR="00E76011" w:rsidRPr="00BD116D">
        <w:t xml:space="preserve">identified the state (or perhaps the nation) as the appropriate referent object for security </w:t>
      </w:r>
      <w:r w:rsidR="00FC3388" w:rsidRPr="00BD116D">
        <w:t>and focuses mostly on military threats (perhaps unsurprisingly as the academic study of security emerged during the Cold War).</w:t>
      </w:r>
      <w:r w:rsidR="00FC3388" w:rsidRPr="00BD116D">
        <w:rPr>
          <w:rStyle w:val="FootnoteReference"/>
        </w:rPr>
        <w:footnoteReference w:id="19"/>
      </w:r>
      <w:r w:rsidR="00546828" w:rsidRPr="00BD116D">
        <w:t xml:space="preserve"> More recently, many have argued for adopting a far wider definition of security on a spectrum from the security of individuals to the security of the planet (we’ll look at some of these in more detail later).</w:t>
      </w:r>
    </w:p>
    <w:p w14:paraId="7E8C4F96" w14:textId="77777777" w:rsidR="00546828" w:rsidRPr="00BD116D" w:rsidRDefault="00546828" w:rsidP="00472368">
      <w:r w:rsidRPr="00BD116D">
        <w:rPr>
          <w:highlight w:val="yellow"/>
        </w:rPr>
        <w:t>Think/reflect</w:t>
      </w:r>
      <w:r w:rsidR="004440AB" w:rsidRPr="00BD116D">
        <w:t xml:space="preserve">: </w:t>
      </w:r>
    </w:p>
    <w:p w14:paraId="2FCF0F92" w14:textId="77777777" w:rsidR="00546828" w:rsidRPr="00BD116D" w:rsidRDefault="00546828" w:rsidP="00546828">
      <w:pPr>
        <w:pStyle w:val="ListParagraph"/>
        <w:numPr>
          <w:ilvl w:val="0"/>
          <w:numId w:val="7"/>
        </w:numPr>
      </w:pPr>
      <w:r w:rsidRPr="00BD116D">
        <w:t>W</w:t>
      </w:r>
      <w:r w:rsidR="004440AB" w:rsidRPr="00BD116D">
        <w:t xml:space="preserve">hich of these examples from the lecture did you think are (or should be) security issues? Why? </w:t>
      </w:r>
    </w:p>
    <w:p w14:paraId="32E93222" w14:textId="77777777" w:rsidR="00546828" w:rsidRPr="00BD116D" w:rsidRDefault="004440AB" w:rsidP="00546828">
      <w:pPr>
        <w:pStyle w:val="ListParagraph"/>
        <w:numPr>
          <w:ilvl w:val="0"/>
          <w:numId w:val="7"/>
        </w:numPr>
      </w:pPr>
      <w:r w:rsidRPr="00BD116D">
        <w:t xml:space="preserve">What are the relevant referent objects, sources of threat, and possible security providers? </w:t>
      </w:r>
    </w:p>
    <w:p w14:paraId="212767FF" w14:textId="7432848F" w:rsidR="003C3C99" w:rsidRPr="00BD116D" w:rsidRDefault="00546828" w:rsidP="00472368">
      <w:pPr>
        <w:pStyle w:val="ListParagraph"/>
        <w:numPr>
          <w:ilvl w:val="0"/>
          <w:numId w:val="7"/>
        </w:numPr>
      </w:pPr>
      <w:r w:rsidRPr="00BD116D">
        <w:t xml:space="preserve">What are the implications for political choices and security policy of adopting a definition of security that is very narrow or very wide? </w:t>
      </w:r>
    </w:p>
    <w:p w14:paraId="4935D721" w14:textId="77777777" w:rsidR="00654F82" w:rsidRPr="00BD116D" w:rsidRDefault="004B3AB1" w:rsidP="004007CA">
      <w:pPr>
        <w:pStyle w:val="Heading1"/>
      </w:pPr>
      <w:r w:rsidRPr="00BD116D">
        <w:t xml:space="preserve">Perspectives on </w:t>
      </w:r>
      <w:r w:rsidR="004224E4" w:rsidRPr="00BD116D">
        <w:t xml:space="preserve">(International) </w:t>
      </w:r>
      <w:r w:rsidRPr="00BD116D">
        <w:t>Security</w:t>
      </w:r>
    </w:p>
    <w:p w14:paraId="09777501" w14:textId="2D5BE7BC" w:rsidR="00654F82" w:rsidRDefault="00654F82" w:rsidP="00654F82">
      <w:r w:rsidRPr="00BD116D">
        <w:t>Security studies, as a subfield of International Relations, is vast</w:t>
      </w:r>
      <w:r w:rsidR="004B3AB1" w:rsidRPr="00BD116D">
        <w:t xml:space="preserve"> </w:t>
      </w:r>
      <w:r w:rsidR="00CF2B89" w:rsidRPr="00BD116D">
        <w:t>– so my aim here is to give you a brief introduction to some of the main, influential perspectives on international security. The handbooks listed in the resource list on Canvas will give you plenty of material to pursue your interests further.</w:t>
      </w:r>
    </w:p>
    <w:p w14:paraId="4952D74A" w14:textId="77777777" w:rsidR="00AD531A" w:rsidRDefault="00D476B0" w:rsidP="00654F82">
      <w:r>
        <w:t>We’ll start with the security dilemma – not a perspective itself but an important idea at the heart of a lot of debates about international security – and then consider t</w:t>
      </w:r>
      <w:r w:rsidRPr="00BD116D">
        <w:t>he three predominant theoretical traditions in IR theory</w:t>
      </w:r>
      <w:r>
        <w:t xml:space="preserve"> – realism, liberalism and constructivism.</w:t>
      </w:r>
      <w:r w:rsidRPr="00BD116D">
        <w:t xml:space="preserve"> </w:t>
      </w:r>
      <w:r>
        <w:t xml:space="preserve">Each has </w:t>
      </w:r>
      <w:r w:rsidRPr="00BD116D">
        <w:t>multiple variations – hence realism</w:t>
      </w:r>
      <w:r w:rsidRPr="00BD116D">
        <w:rPr>
          <w:i/>
          <w:iCs/>
        </w:rPr>
        <w:t>s</w:t>
      </w:r>
      <w:r w:rsidRPr="00BD116D">
        <w:t xml:space="preserve"> etc in the plural – so these are just a very few of the core ideas that </w:t>
      </w:r>
      <w:r w:rsidRPr="00BD116D">
        <w:lastRenderedPageBreak/>
        <w:t xml:space="preserve">characterise the approaches to give you a sense of how IR scholars have thought about international security. </w:t>
      </w:r>
    </w:p>
    <w:p w14:paraId="5ECF5066" w14:textId="40EFDB57" w:rsidR="00D476B0" w:rsidRDefault="00720BB0" w:rsidP="00654F82">
      <w:r>
        <w:t xml:space="preserve">Then we’ll look at some more recent developments </w:t>
      </w:r>
      <w:r w:rsidR="00AD531A">
        <w:t>– p</w:t>
      </w:r>
      <w:r w:rsidR="00AD531A" w:rsidRPr="00BD116D">
        <w:t>rompted</w:t>
      </w:r>
      <w:r w:rsidR="00AD531A">
        <w:t xml:space="preserve"> </w:t>
      </w:r>
      <w:r w:rsidR="00AD531A" w:rsidRPr="00BD116D">
        <w:t>in part by the end of the Cold War  (but with longer histories)</w:t>
      </w:r>
      <w:r w:rsidR="00AD531A">
        <w:t xml:space="preserve"> – </w:t>
      </w:r>
      <w:r>
        <w:t>in</w:t>
      </w:r>
      <w:r w:rsidR="00AD531A">
        <w:t xml:space="preserve"> </w:t>
      </w:r>
      <w:r>
        <w:t xml:space="preserve">security studies and perspectives that have attempted, in different ways, to build on or </w:t>
      </w:r>
      <w:r w:rsidR="00AD531A">
        <w:t xml:space="preserve">challenge and </w:t>
      </w:r>
      <w:r>
        <w:t xml:space="preserve">move beyond the more traditional approaches. </w:t>
      </w:r>
    </w:p>
    <w:p w14:paraId="24DBC2E6" w14:textId="77777777" w:rsidR="00AD531A" w:rsidRPr="00BD116D" w:rsidRDefault="00AD531A" w:rsidP="00654F82"/>
    <w:p w14:paraId="6E1DD7C7" w14:textId="77777777" w:rsidR="00341349" w:rsidRPr="00BD116D" w:rsidRDefault="00341349" w:rsidP="00341349">
      <w:pPr>
        <w:pStyle w:val="Heading2"/>
      </w:pPr>
      <w:r w:rsidRPr="00454B3E">
        <w:t>The Security Dilemma</w:t>
      </w:r>
      <w:r w:rsidRPr="00BD116D">
        <w:t xml:space="preserve"> </w:t>
      </w:r>
    </w:p>
    <w:p w14:paraId="385937E8" w14:textId="550C4727" w:rsidR="000926C0" w:rsidRDefault="000926C0" w:rsidP="000926C0">
      <w:r>
        <w:t>The security dilemma is a key idea in international relations that is frequently used to explain major threats to world peace and security including arms races</w:t>
      </w:r>
      <w:r w:rsidR="00454B3E">
        <w:t xml:space="preserve"> and war (it has been applied to both interstate and civil war), including preventive war.</w:t>
      </w:r>
      <w:r w:rsidR="00454B3E">
        <w:rPr>
          <w:rStyle w:val="FootnoteReference"/>
        </w:rPr>
        <w:footnoteReference w:id="20"/>
      </w:r>
      <w:r w:rsidR="00454B3E">
        <w:t xml:space="preserve"> </w:t>
      </w:r>
    </w:p>
    <w:p w14:paraId="053E4871" w14:textId="6CB8811D" w:rsidR="00454B3E" w:rsidRDefault="00454B3E" w:rsidP="000926C0">
      <w:r>
        <w:t xml:space="preserve">The basic logic is as follows: </w:t>
      </w:r>
    </w:p>
    <w:p w14:paraId="0BCA1D7A" w14:textId="006FE302" w:rsidR="00454B3E" w:rsidRDefault="00454B3E" w:rsidP="00454B3E">
      <w:pPr>
        <w:pStyle w:val="ListParagraph"/>
        <w:numPr>
          <w:ilvl w:val="0"/>
          <w:numId w:val="7"/>
        </w:numPr>
      </w:pPr>
      <w:r>
        <w:t>Actions taken by a state to increase their security (such as building up their military, forming alliances, developing missile defences) …</w:t>
      </w:r>
    </w:p>
    <w:p w14:paraId="0C8B57E8" w14:textId="3A29554E" w:rsidR="00454B3E" w:rsidRDefault="00454B3E" w:rsidP="00454B3E">
      <w:pPr>
        <w:pStyle w:val="ListParagraph"/>
        <w:numPr>
          <w:ilvl w:val="0"/>
          <w:numId w:val="7"/>
        </w:numPr>
      </w:pPr>
      <w:r>
        <w:t>… make other states feel less secure and therefore reciprocate, taking similar measures to increase their security …</w:t>
      </w:r>
    </w:p>
    <w:p w14:paraId="2DF3EE72" w14:textId="3E804107" w:rsidR="00454B3E" w:rsidRDefault="00454B3E" w:rsidP="00454B3E">
      <w:pPr>
        <w:pStyle w:val="ListParagraph"/>
        <w:numPr>
          <w:ilvl w:val="0"/>
          <w:numId w:val="7"/>
        </w:numPr>
      </w:pPr>
      <w:r>
        <w:t>… which increases tension and a mutual sense of fear and insecurity …</w:t>
      </w:r>
    </w:p>
    <w:p w14:paraId="403B80F0" w14:textId="3E12AE27" w:rsidR="00454B3E" w:rsidRDefault="00454B3E" w:rsidP="00454B3E">
      <w:pPr>
        <w:pStyle w:val="ListParagraph"/>
        <w:numPr>
          <w:ilvl w:val="0"/>
          <w:numId w:val="7"/>
        </w:numPr>
      </w:pPr>
      <w:r>
        <w:t>… which can lead to conflict, potentially even war.</w:t>
      </w:r>
    </w:p>
    <w:p w14:paraId="0DACC5B3" w14:textId="33B3F979" w:rsidR="00454B3E" w:rsidRDefault="00454B3E" w:rsidP="00454B3E">
      <w:pPr>
        <w:pStyle w:val="ListParagraph"/>
        <w:numPr>
          <w:ilvl w:val="0"/>
          <w:numId w:val="7"/>
        </w:numPr>
      </w:pPr>
      <w:r>
        <w:t>Crucially, this dynamic is possible even if both sides had purely defensive intentions (at least initially)</w:t>
      </w:r>
    </w:p>
    <w:p w14:paraId="4BA7213B" w14:textId="624924CD" w:rsidR="00454B3E" w:rsidRDefault="00454B3E" w:rsidP="00454B3E">
      <w:pPr>
        <w:pStyle w:val="ListParagraph"/>
        <w:numPr>
          <w:ilvl w:val="0"/>
          <w:numId w:val="7"/>
        </w:numPr>
      </w:pPr>
      <w:r>
        <w:t xml:space="preserve">The problem is that defensive measures (in the ‘self-help world’ of international relations where there is no higher authority providing security) are potentially offensive as well (almost all military systems can be used both defensively and offensively) </w:t>
      </w:r>
    </w:p>
    <w:p w14:paraId="21E1C225" w14:textId="77777777" w:rsidR="00454B3E" w:rsidRDefault="00454B3E" w:rsidP="00454B3E">
      <w:pPr>
        <w:pStyle w:val="ListParagraph"/>
        <w:numPr>
          <w:ilvl w:val="0"/>
          <w:numId w:val="7"/>
        </w:numPr>
      </w:pPr>
      <w:r>
        <w:t>So, everyone ends up less secure; hence, the ‘tragedy’ of international politics</w:t>
      </w:r>
    </w:p>
    <w:p w14:paraId="3BB24AEC" w14:textId="14285930" w:rsidR="00341349" w:rsidRPr="00BD116D" w:rsidRDefault="00454B3E" w:rsidP="00341349">
      <w:r>
        <w:t>Note that there are of course many other possible pathways to war such as aggressive intentions, greed, empire building etc</w:t>
      </w:r>
      <w:r w:rsidR="00545F4E">
        <w:t>.</w:t>
      </w:r>
      <w:r>
        <w:t xml:space="preserve">  </w:t>
      </w:r>
    </w:p>
    <w:p w14:paraId="0934CC3F" w14:textId="47465E30" w:rsidR="00BA61D1" w:rsidRPr="00BD116D" w:rsidRDefault="00BA61D1" w:rsidP="00BA61D1">
      <w:pPr>
        <w:pStyle w:val="Heading2"/>
      </w:pPr>
      <w:r w:rsidRPr="00BD116D">
        <w:t>Realisms</w:t>
      </w:r>
    </w:p>
    <w:p w14:paraId="0F1D7B53" w14:textId="77777777" w:rsidR="00BA61D1" w:rsidRPr="00BD116D" w:rsidRDefault="00BA61D1" w:rsidP="00BA61D1">
      <w:pPr>
        <w:pStyle w:val="ListParagraph"/>
        <w:numPr>
          <w:ilvl w:val="0"/>
          <w:numId w:val="12"/>
        </w:numPr>
      </w:pPr>
      <w:r w:rsidRPr="00BD116D">
        <w:t xml:space="preserve">Primacy of the state as security-seeking (or security-maximising) actor concerned above all with </w:t>
      </w:r>
      <w:r w:rsidRPr="00BD116D">
        <w:rPr>
          <w:i/>
          <w:iCs/>
        </w:rPr>
        <w:t>survival</w:t>
      </w:r>
      <w:r w:rsidRPr="00BD116D">
        <w:t xml:space="preserve"> (of the state) in conditions of international </w:t>
      </w:r>
      <w:r w:rsidRPr="00BD116D">
        <w:rPr>
          <w:i/>
          <w:iCs/>
        </w:rPr>
        <w:t xml:space="preserve">anarchy </w:t>
      </w:r>
      <w:r w:rsidRPr="00BD116D">
        <w:t xml:space="preserve">(a 'self-help world') </w:t>
      </w:r>
      <w:r w:rsidRPr="00BD116D">
        <w:rPr>
          <w:rFonts w:ascii="Arial" w:hAnsi="Arial" w:cs="Arial"/>
        </w:rPr>
        <w:t>​</w:t>
      </w:r>
    </w:p>
    <w:p w14:paraId="39DDC53E" w14:textId="4743DC83" w:rsidR="006548BB" w:rsidRDefault="006548BB" w:rsidP="00BA61D1">
      <w:pPr>
        <w:pStyle w:val="ListParagraph"/>
        <w:numPr>
          <w:ilvl w:val="0"/>
          <w:numId w:val="12"/>
        </w:numPr>
      </w:pPr>
      <w:r>
        <w:t>Explanations focus on factors working from the ‘outside-in’ – the international system shapes and shoves how states can and should behave</w:t>
      </w:r>
    </w:p>
    <w:p w14:paraId="7910E030" w14:textId="50CBEA06" w:rsidR="00BA61D1" w:rsidRPr="006548BB" w:rsidRDefault="00BA61D1" w:rsidP="00BA61D1">
      <w:pPr>
        <w:pStyle w:val="ListParagraph"/>
        <w:numPr>
          <w:ilvl w:val="0"/>
          <w:numId w:val="12"/>
        </w:numPr>
      </w:pPr>
      <w:r w:rsidRPr="00BD116D">
        <w:t>Focuses on material factors (balance of military power, geography, economic strength)</w:t>
      </w:r>
      <w:r w:rsidRPr="00BD116D">
        <w:rPr>
          <w:rFonts w:ascii="Arial" w:hAnsi="Arial" w:cs="Arial"/>
        </w:rPr>
        <w:t>​</w:t>
      </w:r>
    </w:p>
    <w:p w14:paraId="792B257E" w14:textId="6B438278" w:rsidR="00BA61D1" w:rsidRPr="00BD116D" w:rsidRDefault="00BA61D1" w:rsidP="00BA61D1">
      <w:pPr>
        <w:pStyle w:val="ListParagraph"/>
        <w:numPr>
          <w:ilvl w:val="0"/>
          <w:numId w:val="12"/>
        </w:numPr>
      </w:pPr>
      <w:r w:rsidRPr="00BD116D">
        <w:t xml:space="preserve">Very pessimistic outlook </w:t>
      </w:r>
      <w:r w:rsidRPr="00BD116D">
        <w:rPr>
          <w:rFonts w:ascii="Arial" w:hAnsi="Arial" w:cs="Arial"/>
        </w:rPr>
        <w:t>​</w:t>
      </w:r>
    </w:p>
    <w:p w14:paraId="7042908A" w14:textId="1ECF13BC" w:rsidR="00BA61D1" w:rsidRPr="00BD116D" w:rsidRDefault="00BA61D1" w:rsidP="00BA61D1">
      <w:pPr>
        <w:pStyle w:val="Heading2"/>
      </w:pPr>
      <w:r w:rsidRPr="00BD116D">
        <w:t>Liberalisms</w:t>
      </w:r>
    </w:p>
    <w:p w14:paraId="55BFE766" w14:textId="77777777" w:rsidR="00BA61D1" w:rsidRPr="006548BB" w:rsidRDefault="00BA61D1" w:rsidP="00BA61D1">
      <w:pPr>
        <w:pStyle w:val="ListParagraph"/>
        <w:numPr>
          <w:ilvl w:val="0"/>
          <w:numId w:val="13"/>
        </w:numPr>
      </w:pPr>
      <w:r w:rsidRPr="00BD116D">
        <w:t xml:space="preserve">Greater emphasis on individuals (analytically and normatively) and the role of international institutions in facilitating cooperation </w:t>
      </w:r>
      <w:r w:rsidRPr="00BD116D">
        <w:rPr>
          <w:rFonts w:ascii="Arial" w:hAnsi="Arial" w:cs="Arial"/>
        </w:rPr>
        <w:t>​</w:t>
      </w:r>
    </w:p>
    <w:p w14:paraId="3E1D0B46" w14:textId="0934F85F" w:rsidR="00BA61D1" w:rsidRPr="00BD116D" w:rsidRDefault="006548BB" w:rsidP="001E786A">
      <w:pPr>
        <w:pStyle w:val="ListParagraph"/>
        <w:numPr>
          <w:ilvl w:val="0"/>
          <w:numId w:val="13"/>
        </w:numPr>
      </w:pPr>
      <w:r w:rsidRPr="006548BB">
        <w:rPr>
          <w:rFonts w:ascii="Arial" w:hAnsi="Arial" w:cs="Arial"/>
        </w:rPr>
        <w:t xml:space="preserve">Explanations focus more on factors working from the ‘inside-out’ – that is, </w:t>
      </w:r>
      <w:r>
        <w:rPr>
          <w:rFonts w:ascii="Arial" w:hAnsi="Arial" w:cs="Arial"/>
        </w:rPr>
        <w:t>the i</w:t>
      </w:r>
      <w:r w:rsidR="00BA61D1" w:rsidRPr="00BD116D">
        <w:t>mportance of domestic variables (e.g., democratic peace)</w:t>
      </w:r>
      <w:r w:rsidR="00BA61D1" w:rsidRPr="006548BB">
        <w:rPr>
          <w:rFonts w:ascii="Arial" w:hAnsi="Arial" w:cs="Arial"/>
        </w:rPr>
        <w:t>​</w:t>
      </w:r>
    </w:p>
    <w:p w14:paraId="31DF11F0" w14:textId="3B380D2C" w:rsidR="00BA61D1" w:rsidRPr="00BD116D" w:rsidRDefault="00BA61D1" w:rsidP="00BA61D1">
      <w:pPr>
        <w:pStyle w:val="ListParagraph"/>
        <w:numPr>
          <w:ilvl w:val="0"/>
          <w:numId w:val="13"/>
        </w:numPr>
      </w:pPr>
      <w:r w:rsidRPr="00BD116D">
        <w:t>More optimistic outlook</w:t>
      </w:r>
    </w:p>
    <w:p w14:paraId="2D587312" w14:textId="1210851B" w:rsidR="000B2AEF" w:rsidRPr="00BD116D" w:rsidRDefault="000B2AEF" w:rsidP="00BA61D1">
      <w:pPr>
        <w:pStyle w:val="Heading2"/>
      </w:pPr>
      <w:r w:rsidRPr="00BD116D">
        <w:lastRenderedPageBreak/>
        <w:t>Constructivism</w:t>
      </w:r>
      <w:r w:rsidR="00BA61D1" w:rsidRPr="00BD116D">
        <w:t>s</w:t>
      </w:r>
      <w:r w:rsidRPr="00BD116D">
        <w:t xml:space="preserve"> </w:t>
      </w:r>
    </w:p>
    <w:p w14:paraId="41F7D5AC" w14:textId="77777777" w:rsidR="00BA61D1" w:rsidRPr="00BD116D" w:rsidRDefault="00BA61D1" w:rsidP="00BA61D1">
      <w:pPr>
        <w:pStyle w:val="ListParagraph"/>
        <w:numPr>
          <w:ilvl w:val="0"/>
          <w:numId w:val="11"/>
        </w:numPr>
      </w:pPr>
      <w:r w:rsidRPr="00BD116D">
        <w:t xml:space="preserve">Ideas (and not just material factors) matter, which opens up space for change (e.g. a shift from </w:t>
      </w:r>
      <w:r w:rsidRPr="00BD116D">
        <w:rPr>
          <w:i/>
          <w:iCs/>
        </w:rPr>
        <w:t xml:space="preserve">state </w:t>
      </w:r>
      <w:r w:rsidRPr="00BD116D">
        <w:t xml:space="preserve">security to </w:t>
      </w:r>
      <w:r w:rsidRPr="00BD116D">
        <w:rPr>
          <w:i/>
          <w:iCs/>
        </w:rPr>
        <w:t xml:space="preserve">human </w:t>
      </w:r>
      <w:r w:rsidRPr="00BD116D">
        <w:t xml:space="preserve">security – more on this later) </w:t>
      </w:r>
      <w:r w:rsidRPr="00BD116D">
        <w:rPr>
          <w:rFonts w:ascii="Arial" w:hAnsi="Arial" w:cs="Arial"/>
        </w:rPr>
        <w:t>​</w:t>
      </w:r>
    </w:p>
    <w:p w14:paraId="5BCD043F" w14:textId="5998174B" w:rsidR="00BA61D1" w:rsidRPr="00BD116D" w:rsidRDefault="00BA61D1" w:rsidP="00BA61D1">
      <w:pPr>
        <w:pStyle w:val="ListParagraph"/>
        <w:numPr>
          <w:ilvl w:val="0"/>
          <w:numId w:val="11"/>
        </w:numPr>
      </w:pPr>
      <w:r w:rsidRPr="00BD116D">
        <w:t xml:space="preserve">Core concepts in international security – anarchy, national interests, the balance of power etc. – are not fixed, objective facts 'out there' but are socially constructed </w:t>
      </w:r>
      <w:r w:rsidRPr="00BD116D">
        <w:rPr>
          <w:rFonts w:ascii="Arial" w:hAnsi="Arial" w:cs="Arial"/>
        </w:rPr>
        <w:t>​</w:t>
      </w:r>
    </w:p>
    <w:p w14:paraId="36DA7713" w14:textId="075EDA72" w:rsidR="000B2AEF" w:rsidRDefault="00BA61D1" w:rsidP="00CC2447">
      <w:pPr>
        <w:pStyle w:val="ListParagraph"/>
        <w:numPr>
          <w:ilvl w:val="1"/>
          <w:numId w:val="11"/>
        </w:numPr>
      </w:pPr>
      <w:r w:rsidRPr="00BD116D">
        <w:t>E.g. relations of enmity and amity are not 'given' but are social constructions:</w:t>
      </w:r>
      <w:r w:rsidR="006C2DF5" w:rsidRPr="00BD116D">
        <w:t xml:space="preserve"> </w:t>
      </w:r>
      <w:r w:rsidR="000B2AEF" w:rsidRPr="00BD116D">
        <w:t>“Five hundred British nuclear weapons are less threatening to the US than five North Korean ones because of the shared understandings that underpin them.”</w:t>
      </w:r>
      <w:r w:rsidR="000B2AEF" w:rsidRPr="00BD116D">
        <w:rPr>
          <w:rStyle w:val="FootnoteReference"/>
        </w:rPr>
        <w:footnoteReference w:id="21"/>
      </w:r>
      <w:r w:rsidR="000B2AEF" w:rsidRPr="00BD116D">
        <w:t xml:space="preserve"> </w:t>
      </w:r>
    </w:p>
    <w:p w14:paraId="53071DCF" w14:textId="7DD32DA6" w:rsidR="004D5280" w:rsidRPr="00BD116D" w:rsidRDefault="004D5280" w:rsidP="004D5280">
      <w:pPr>
        <w:pStyle w:val="ListParagraph"/>
        <w:numPr>
          <w:ilvl w:val="0"/>
          <w:numId w:val="11"/>
        </w:numPr>
      </w:pPr>
      <w:r>
        <w:t>Crucial for understanding the importance of norms and identity in international security.</w:t>
      </w:r>
      <w:r>
        <w:rPr>
          <w:rStyle w:val="FootnoteReference"/>
        </w:rPr>
        <w:footnoteReference w:id="22"/>
      </w:r>
    </w:p>
    <w:p w14:paraId="293471BB" w14:textId="77777777" w:rsidR="002966FC" w:rsidRPr="00BD116D" w:rsidRDefault="002966FC" w:rsidP="002966FC"/>
    <w:p w14:paraId="5A0E8A30" w14:textId="77777777" w:rsidR="00343027" w:rsidRPr="00BD116D" w:rsidRDefault="00343027" w:rsidP="00D32F88">
      <w:pPr>
        <w:pStyle w:val="Heading2"/>
      </w:pPr>
      <w:r w:rsidRPr="00BD116D">
        <w:t>Securitisation</w:t>
      </w:r>
    </w:p>
    <w:p w14:paraId="4406C081" w14:textId="43BE5F1A" w:rsidR="000D2248" w:rsidRDefault="00527930" w:rsidP="000D2248">
      <w:r>
        <w:t>Securitisation is a</w:t>
      </w:r>
      <w:r w:rsidR="00BD116D" w:rsidRPr="00BD116D">
        <w:t xml:space="preserve">ssociated with the so-called Copenhagen School </w:t>
      </w:r>
      <w:r>
        <w:t>and was developed initially by Buzan and colleagues, but has subsequently been refined and developed in many directions.</w:t>
      </w:r>
      <w:r w:rsidR="00782FA8" w:rsidRPr="00BD116D">
        <w:rPr>
          <w:rStyle w:val="FootnoteReference"/>
          <w:rFonts w:ascii="Arial" w:hAnsi="Arial" w:cs="Arial"/>
        </w:rPr>
        <w:footnoteReference w:id="23"/>
      </w:r>
    </w:p>
    <w:p w14:paraId="0A2E3BAD" w14:textId="0C2B61EC" w:rsidR="00527930" w:rsidRPr="000D2248" w:rsidRDefault="00527930" w:rsidP="000D2248">
      <w:r>
        <w:t>The core ideas, as articulated by Buzan et al, is as follows:</w:t>
      </w:r>
    </w:p>
    <w:p w14:paraId="5213F31F" w14:textId="77777777" w:rsidR="000D2248" w:rsidRPr="00BD116D" w:rsidRDefault="000D2248" w:rsidP="00185660">
      <w:pPr>
        <w:pStyle w:val="ListParagraph"/>
        <w:numPr>
          <w:ilvl w:val="0"/>
          <w:numId w:val="23"/>
        </w:numPr>
      </w:pPr>
      <w:r w:rsidRPr="00BD116D">
        <w:t>"the meaning of a concept lies in its usage."</w:t>
      </w:r>
      <w:r w:rsidRPr="00BD116D">
        <w:rPr>
          <w:rFonts w:ascii="Arial" w:hAnsi="Arial" w:cs="Arial"/>
        </w:rPr>
        <w:t>​</w:t>
      </w:r>
    </w:p>
    <w:p w14:paraId="6262D96E" w14:textId="77777777" w:rsidR="000D2248" w:rsidRPr="00BD116D" w:rsidRDefault="000D2248" w:rsidP="00185660">
      <w:pPr>
        <w:pStyle w:val="ListParagraph"/>
        <w:numPr>
          <w:ilvl w:val="0"/>
          <w:numId w:val="23"/>
        </w:numPr>
      </w:pPr>
      <w:r w:rsidRPr="00BD116D">
        <w:t xml:space="preserve">"Security is […] a self-referential practice […] it is in this practice that the issue becomes a security issue – not necessarily because a real existential threat exists but because the issue is presented as such a threat." </w:t>
      </w:r>
      <w:r w:rsidRPr="00BD116D">
        <w:rPr>
          <w:rFonts w:ascii="Arial" w:hAnsi="Arial" w:cs="Arial"/>
        </w:rPr>
        <w:t>​</w:t>
      </w:r>
    </w:p>
    <w:p w14:paraId="053C43C1" w14:textId="77777777" w:rsidR="000D2248" w:rsidRPr="00BD116D" w:rsidRDefault="000D2248" w:rsidP="00C23C8D">
      <w:pPr>
        <w:pStyle w:val="ListParagraph"/>
        <w:numPr>
          <w:ilvl w:val="1"/>
          <w:numId w:val="23"/>
        </w:numPr>
      </w:pPr>
      <w:r w:rsidRPr="00BD116D">
        <w:t>'Saying security is doing security'</w:t>
      </w:r>
      <w:r w:rsidRPr="00BD116D">
        <w:rPr>
          <w:rFonts w:ascii="Arial" w:hAnsi="Arial" w:cs="Arial"/>
        </w:rPr>
        <w:t>​</w:t>
      </w:r>
    </w:p>
    <w:p w14:paraId="74000113" w14:textId="77777777" w:rsidR="000D2248" w:rsidRPr="00BD116D" w:rsidRDefault="000D2248" w:rsidP="00185660">
      <w:pPr>
        <w:pStyle w:val="ListParagraph"/>
        <w:numPr>
          <w:ilvl w:val="0"/>
          <w:numId w:val="23"/>
        </w:numPr>
      </w:pPr>
      <w:r w:rsidRPr="00BD116D">
        <w:t>"when a securitizing actor uses a rhetoric of existential threat and thereby takes an issue out of […] 'normal politics', we have a case of securitization"</w:t>
      </w:r>
      <w:r w:rsidRPr="00BD116D">
        <w:rPr>
          <w:rFonts w:ascii="Arial" w:hAnsi="Arial" w:cs="Arial"/>
        </w:rPr>
        <w:t>​</w:t>
      </w:r>
    </w:p>
    <w:p w14:paraId="3F363E6C" w14:textId="2DD4ADC1" w:rsidR="000D2248" w:rsidRPr="00BD116D" w:rsidRDefault="000D2248" w:rsidP="00185660">
      <w:pPr>
        <w:pStyle w:val="ListParagraph"/>
        <w:numPr>
          <w:ilvl w:val="0"/>
          <w:numId w:val="23"/>
        </w:numPr>
      </w:pPr>
      <w:r w:rsidRPr="00BD116D">
        <w:t xml:space="preserve">This legitimises the use of </w:t>
      </w:r>
      <w:r w:rsidRPr="00BD116D">
        <w:rPr>
          <w:b/>
          <w:bCs/>
        </w:rPr>
        <w:t xml:space="preserve">extraordinary measures </w:t>
      </w:r>
      <w:r w:rsidRPr="00BD116D">
        <w:t xml:space="preserve">– security is defined by </w:t>
      </w:r>
      <w:r w:rsidRPr="00BD116D">
        <w:rPr>
          <w:b/>
          <w:bCs/>
        </w:rPr>
        <w:t xml:space="preserve">exception and emergency </w:t>
      </w:r>
      <w:r w:rsidRPr="00BD116D">
        <w:t>(ra</w:t>
      </w:r>
      <w:r w:rsidR="002221B3" w:rsidRPr="00BD116D">
        <w:t>th</w:t>
      </w:r>
      <w:r w:rsidRPr="00BD116D">
        <w:t>er than e.g. democratic procedures in 'normal' politics)</w:t>
      </w:r>
      <w:r w:rsidRPr="00BD116D">
        <w:rPr>
          <w:rFonts w:ascii="Arial" w:hAnsi="Arial" w:cs="Arial"/>
        </w:rPr>
        <w:t>​</w:t>
      </w:r>
    </w:p>
    <w:p w14:paraId="1F058D47" w14:textId="77777777" w:rsidR="000D2248" w:rsidRPr="00BD116D" w:rsidRDefault="000D2248" w:rsidP="00185660">
      <w:pPr>
        <w:pStyle w:val="ListParagraph"/>
        <w:numPr>
          <w:ilvl w:val="0"/>
          <w:numId w:val="23"/>
        </w:numPr>
      </w:pPr>
      <w:r w:rsidRPr="00BD116D">
        <w:t>"it is always a political choice to securitize or to accept securitization." </w:t>
      </w:r>
      <w:r w:rsidRPr="00BD116D">
        <w:rPr>
          <w:rFonts w:ascii="Arial" w:hAnsi="Arial" w:cs="Arial"/>
        </w:rPr>
        <w:t>​</w:t>
      </w:r>
    </w:p>
    <w:p w14:paraId="361FFF30" w14:textId="48CE5DB3" w:rsidR="00CF2B89" w:rsidRPr="00BD116D" w:rsidRDefault="00CF2B89" w:rsidP="00CF2B89"/>
    <w:p w14:paraId="6003A1ED" w14:textId="59F5FA1C" w:rsidR="000D2248" w:rsidRPr="00BD116D" w:rsidRDefault="002221B3" w:rsidP="002221B3">
      <w:pPr>
        <w:keepNext/>
        <w:jc w:val="center"/>
      </w:pPr>
      <w:r w:rsidRPr="00BD116D">
        <w:lastRenderedPageBreak/>
        <w:t>e</w:t>
      </w:r>
      <w:r w:rsidR="000D2248" w:rsidRPr="00BD116D">
        <w:rPr>
          <w:noProof/>
        </w:rPr>
        <w:drawing>
          <wp:inline distT="0" distB="0" distL="0" distR="0" wp14:anchorId="6C57E0BB" wp14:editId="71C49B5F">
            <wp:extent cx="3884878" cy="3497423"/>
            <wp:effectExtent l="0" t="0" r="1905" b="8255"/>
            <wp:docPr id="43214817" name="Picture 8" descr="Securitization Theory and Foreign Policy Analysis | Oxford Research  Encyclopedia of Poli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ecuritization Theory and Foreign Policy Analysis | Oxford Research  Encyclopedia of Politic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89436" cy="3501526"/>
                    </a:xfrm>
                    <a:prstGeom prst="rect">
                      <a:avLst/>
                    </a:prstGeom>
                    <a:noFill/>
                    <a:ln>
                      <a:noFill/>
                    </a:ln>
                  </pic:spPr>
                </pic:pic>
              </a:graphicData>
            </a:graphic>
          </wp:inline>
        </w:drawing>
      </w:r>
    </w:p>
    <w:p w14:paraId="53A31C02" w14:textId="0B1FBF87" w:rsidR="000D2248" w:rsidRPr="00BD116D" w:rsidRDefault="000D2248" w:rsidP="000D2248">
      <w:pPr>
        <w:pStyle w:val="Caption"/>
      </w:pPr>
      <w:r w:rsidRPr="00BD116D">
        <w:t xml:space="preserve">Figure </w:t>
      </w:r>
      <w:fldSimple w:instr=" SEQ Figure \* ARABIC ">
        <w:r w:rsidR="00670F6E">
          <w:rPr>
            <w:noProof/>
          </w:rPr>
          <w:t>6</w:t>
        </w:r>
      </w:fldSimple>
      <w:r w:rsidRPr="00BD116D">
        <w:t xml:space="preserve"> Courtesy of Mark Webber</w:t>
      </w:r>
    </w:p>
    <w:p w14:paraId="41121947" w14:textId="1A6CDE12" w:rsidR="000D2248" w:rsidRPr="004F0320" w:rsidRDefault="00F14D70" w:rsidP="00CF2B89">
      <w:r w:rsidRPr="00F14D70">
        <w:t>If</w:t>
      </w:r>
      <w:r>
        <w:t xml:space="preserve"> securitisation is the process by which issues become part of the security agenda, </w:t>
      </w:r>
      <w:r w:rsidRPr="00F14D70">
        <w:rPr>
          <w:i/>
          <w:iCs/>
        </w:rPr>
        <w:t>desecuritisation</w:t>
      </w:r>
      <w:r>
        <w:t xml:space="preserve"> is the reverse of this process. Scholars concerned with the negative consequences of securitisation (think about migration, for example, and the dangers associated with treating particular issues as requiring exceptional measures in response to existential threats). In d</w:t>
      </w:r>
      <w:r w:rsidR="000D2248" w:rsidRPr="00BD116D">
        <w:t>esecuritisation</w:t>
      </w:r>
      <w:r>
        <w:rPr>
          <w:rFonts w:ascii="Arial" w:hAnsi="Arial" w:cs="Arial"/>
        </w:rPr>
        <w:t>, i</w:t>
      </w:r>
      <w:r w:rsidR="000D2248" w:rsidRPr="00BD116D">
        <w:t xml:space="preserve">ssues that were securitised are moved back into the domain of normal politics </w:t>
      </w:r>
    </w:p>
    <w:p w14:paraId="46458763" w14:textId="66F70A44" w:rsidR="00CF2B89" w:rsidRPr="00BD116D" w:rsidRDefault="00CF2B89" w:rsidP="00CF2B89">
      <w:r w:rsidRPr="00BD116D">
        <w:rPr>
          <w:highlight w:val="yellow"/>
        </w:rPr>
        <w:t>Think/Reflect:</w:t>
      </w:r>
    </w:p>
    <w:p w14:paraId="761E8AE4" w14:textId="59A30FAC" w:rsidR="00CF2B89" w:rsidRPr="00BD116D" w:rsidRDefault="00CF2B89" w:rsidP="00CF2B89">
      <w:pPr>
        <w:pStyle w:val="ListParagraph"/>
        <w:numPr>
          <w:ilvl w:val="0"/>
          <w:numId w:val="1"/>
        </w:numPr>
      </w:pPr>
      <w:r w:rsidRPr="00BD116D">
        <w:t xml:space="preserve">Think back to our discussion of the politics of climate change, especially the possible links between climate change and armed conflict. Do you think climate change and environmental issues have been (or should be) securitised? What would the implications be? Do you think this would improve political and policy responses to environmental challenges or make them worse? </w:t>
      </w:r>
    </w:p>
    <w:p w14:paraId="7AC6E487" w14:textId="66CCE0E2" w:rsidR="0052644D" w:rsidRPr="00BD116D" w:rsidRDefault="0052644D" w:rsidP="00CF2B89">
      <w:pPr>
        <w:pStyle w:val="ListParagraph"/>
        <w:numPr>
          <w:ilvl w:val="0"/>
          <w:numId w:val="1"/>
        </w:numPr>
      </w:pPr>
      <w:r w:rsidRPr="00BD116D">
        <w:t>Should the alleged link between water scarcity and conflict be desecuritised? Do you think this would make international cooperation easier?</w:t>
      </w:r>
    </w:p>
    <w:p w14:paraId="0DC6F0DB" w14:textId="77777777" w:rsidR="00CF2B89" w:rsidRPr="00BD116D" w:rsidRDefault="00CF2B89" w:rsidP="00CF2B89"/>
    <w:p w14:paraId="51A8A389" w14:textId="36D147D9" w:rsidR="00B848D4" w:rsidRPr="00BD116D" w:rsidRDefault="00B848D4" w:rsidP="00D32F88">
      <w:pPr>
        <w:pStyle w:val="Heading2"/>
      </w:pPr>
      <w:r w:rsidRPr="00BD116D">
        <w:t xml:space="preserve">Human Security </w:t>
      </w:r>
    </w:p>
    <w:p w14:paraId="1F7E435F" w14:textId="4FDD717C" w:rsidR="00B848D4" w:rsidRDefault="00527930" w:rsidP="00B848D4">
      <w:r>
        <w:t xml:space="preserve">An important development in both academia and in international policy circles that started in the 1990s (prompted in part by the end of the Cold War) was a shift in thinking away from prioritising the state as the main referent object of security and towards individual people – hence human security. The basic insight can be summed as: </w:t>
      </w:r>
      <w:r w:rsidR="00B848D4" w:rsidRPr="00BD116D">
        <w:t>People are ends, states are means to ends</w:t>
      </w:r>
      <w:r>
        <w:t xml:space="preserve">. </w:t>
      </w:r>
    </w:p>
    <w:p w14:paraId="374C6B75" w14:textId="5A8F0483" w:rsidR="00B848D4" w:rsidRPr="00BD116D" w:rsidRDefault="00527930" w:rsidP="00B848D4">
      <w:r>
        <w:t xml:space="preserve">For academics such as Ken Booth, this shift in emphasis was central to efforts to rethink security: </w:t>
      </w:r>
      <w:r w:rsidR="00D32F88" w:rsidRPr="00BD116D">
        <w:t xml:space="preserve">“It is on the position of the state where the conception of security as a process of </w:t>
      </w:r>
      <w:r w:rsidR="00D32F88" w:rsidRPr="00BD116D">
        <w:lastRenderedPageBreak/>
        <w:t>emancipation parts company with the neo-realist conception … The litmus test concerns the primary referent object: is it states, or is it people? Whose security comes first? I want to argue … that individual humans are the ultimate referent.”</w:t>
      </w:r>
      <w:r w:rsidR="00972B15" w:rsidRPr="00BD116D">
        <w:rPr>
          <w:rStyle w:val="FootnoteReference"/>
        </w:rPr>
        <w:footnoteReference w:id="24"/>
      </w:r>
    </w:p>
    <w:p w14:paraId="325DD7E0" w14:textId="6C17CFC0" w:rsidR="00D32F88" w:rsidRDefault="00527930" w:rsidP="00B848D4">
      <w:r>
        <w:t xml:space="preserve">Around the same time, a landmark report by the UN Development Programme – the </w:t>
      </w:r>
      <w:r w:rsidRPr="00BD116D">
        <w:t>Human Development Report</w:t>
      </w:r>
      <w:r w:rsidRPr="00BD116D">
        <w:rPr>
          <w:rStyle w:val="FootnoteReference"/>
        </w:rPr>
        <w:footnoteReference w:id="25"/>
      </w:r>
      <w:r>
        <w:t xml:space="preserve"> - introduced the term human security to policy discourse. Note the explicit emphasis on </w:t>
      </w:r>
      <w:r w:rsidR="0081767D">
        <w:t xml:space="preserve">shifting the referent object of security and expanding the definition of the associated security agenda: </w:t>
      </w:r>
    </w:p>
    <w:p w14:paraId="2464A6AF" w14:textId="6BEBB616" w:rsidR="0081767D" w:rsidRPr="00BD116D" w:rsidRDefault="0081767D" w:rsidP="0081767D">
      <w:pPr>
        <w:jc w:val="center"/>
      </w:pPr>
      <w:r w:rsidRPr="0081767D">
        <w:rPr>
          <w:noProof/>
        </w:rPr>
        <w:drawing>
          <wp:inline distT="0" distB="0" distL="0" distR="0" wp14:anchorId="1ECF22FC" wp14:editId="2ABAC39D">
            <wp:extent cx="3162733" cy="1867645"/>
            <wp:effectExtent l="0" t="0" r="0" b="0"/>
            <wp:docPr id="5694933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75161" cy="1874984"/>
                    </a:xfrm>
                    <a:prstGeom prst="rect">
                      <a:avLst/>
                    </a:prstGeom>
                    <a:noFill/>
                    <a:ln>
                      <a:noFill/>
                    </a:ln>
                  </pic:spPr>
                </pic:pic>
              </a:graphicData>
            </a:graphic>
          </wp:inline>
        </w:drawing>
      </w:r>
    </w:p>
    <w:p w14:paraId="3E1987D0" w14:textId="008A3890" w:rsidR="00B848D4" w:rsidRDefault="00B848D4" w:rsidP="00D32F88">
      <w:pPr>
        <w:pStyle w:val="Heading2"/>
      </w:pPr>
      <w:r w:rsidRPr="00BD116D">
        <w:t xml:space="preserve">Critical Perspectives </w:t>
      </w:r>
    </w:p>
    <w:p w14:paraId="059FE825" w14:textId="4D88FD5E" w:rsidR="007D388B" w:rsidRPr="007D388B" w:rsidRDefault="007D388B" w:rsidP="007D388B">
      <w:r>
        <w:t xml:space="preserve">I’m referring </w:t>
      </w:r>
      <w:r w:rsidR="00272C7C">
        <w:t xml:space="preserve">here </w:t>
      </w:r>
      <w:r>
        <w:t xml:space="preserve">to a very diverse – perhaps incompatible – set of perspectives, but as a broad umbrella term, ‘critical perspectives’ in security studies share some common starting points and arguments. </w:t>
      </w:r>
    </w:p>
    <w:p w14:paraId="1A36C862" w14:textId="77777777" w:rsidR="00D32F88" w:rsidRPr="00D32F88" w:rsidRDefault="00D32F88" w:rsidP="004932A0">
      <w:pPr>
        <w:pStyle w:val="ListParagraph"/>
        <w:numPr>
          <w:ilvl w:val="0"/>
          <w:numId w:val="27"/>
        </w:numPr>
      </w:pPr>
      <w:r w:rsidRPr="00D32F88">
        <w:t>Rethinking ‘traditional’ security studies (especially realism)</w:t>
      </w:r>
      <w:r w:rsidRPr="004932A0">
        <w:rPr>
          <w:rFonts w:ascii="Arial" w:hAnsi="Arial" w:cs="Arial"/>
        </w:rPr>
        <w:t>​</w:t>
      </w:r>
    </w:p>
    <w:p w14:paraId="42B21F75" w14:textId="77777777" w:rsidR="00D32F88" w:rsidRPr="00D32F88" w:rsidRDefault="00D32F88" w:rsidP="004932A0">
      <w:pPr>
        <w:pStyle w:val="ListParagraph"/>
        <w:numPr>
          <w:ilvl w:val="0"/>
          <w:numId w:val="27"/>
        </w:numPr>
      </w:pPr>
      <w:r w:rsidRPr="00D32F88">
        <w:t>Profound political differences over what security can and should mean</w:t>
      </w:r>
      <w:r w:rsidRPr="004932A0">
        <w:rPr>
          <w:rFonts w:ascii="Arial" w:hAnsi="Arial" w:cs="Arial"/>
        </w:rPr>
        <w:t>​</w:t>
      </w:r>
    </w:p>
    <w:p w14:paraId="466DACC3" w14:textId="77777777" w:rsidR="00D32F88" w:rsidRPr="00D32F88" w:rsidRDefault="00D32F88" w:rsidP="004932A0">
      <w:pPr>
        <w:pStyle w:val="ListParagraph"/>
        <w:numPr>
          <w:ilvl w:val="0"/>
          <w:numId w:val="27"/>
        </w:numPr>
      </w:pPr>
      <w:r w:rsidRPr="00D32F88">
        <w:t xml:space="preserve">Challenging state-centrism and an (over)emphasis on military force of traditional security studies </w:t>
      </w:r>
      <w:r w:rsidRPr="004932A0">
        <w:rPr>
          <w:rFonts w:ascii="Arial" w:hAnsi="Arial" w:cs="Arial"/>
        </w:rPr>
        <w:t>​</w:t>
      </w:r>
    </w:p>
    <w:p w14:paraId="788985D6" w14:textId="3A1FB8D0" w:rsidR="00D32F88" w:rsidRPr="00D32F88" w:rsidRDefault="00D32F88" w:rsidP="004932A0">
      <w:pPr>
        <w:pStyle w:val="ListParagraph"/>
        <w:numPr>
          <w:ilvl w:val="0"/>
          <w:numId w:val="27"/>
        </w:numPr>
      </w:pPr>
      <w:r w:rsidRPr="00D32F88">
        <w:t>Addressing the exclusion of marginalised voices (especially feminist and postcolonial perspectives on security</w:t>
      </w:r>
      <w:r w:rsidR="00F408A7">
        <w:t xml:space="preserve"> – more on these next</w:t>
      </w:r>
      <w:r w:rsidRPr="00D32F88">
        <w:t>)</w:t>
      </w:r>
      <w:r w:rsidRPr="004932A0">
        <w:rPr>
          <w:rFonts w:ascii="Arial" w:hAnsi="Arial" w:cs="Arial"/>
        </w:rPr>
        <w:t>​</w:t>
      </w:r>
    </w:p>
    <w:p w14:paraId="4EE04A25" w14:textId="1BDCA9D2" w:rsidR="00D32F88" w:rsidRPr="00D32F88" w:rsidRDefault="00D32F88" w:rsidP="004932A0">
      <w:pPr>
        <w:pStyle w:val="ListParagraph"/>
        <w:numPr>
          <w:ilvl w:val="0"/>
          <w:numId w:val="27"/>
        </w:numPr>
      </w:pPr>
      <w:r w:rsidRPr="00D32F88">
        <w:t>Responding to the ‘disciplining’ practices in academia</w:t>
      </w:r>
      <w:r w:rsidR="007D388B">
        <w:rPr>
          <w:rStyle w:val="FootnoteReference"/>
        </w:rPr>
        <w:footnoteReference w:id="26"/>
      </w:r>
    </w:p>
    <w:p w14:paraId="1CEC6C6C" w14:textId="36D868D7" w:rsidR="00972B15" w:rsidRPr="00BD116D" w:rsidRDefault="00CA2D0B" w:rsidP="00B848D4">
      <w:r>
        <w:t>Scholars such as Ken Booth, quoted above, were closely associated with these developments. And w</w:t>
      </w:r>
      <w:r w:rsidR="00AA19B1">
        <w:t>hile in some ways the emergence of human security as a widely used concept in both academia and policy suggests a c</w:t>
      </w:r>
      <w:r w:rsidR="00AA19B1" w:rsidRPr="00BD116D">
        <w:t>onvergence between critical security approaches and policymakers</w:t>
      </w:r>
      <w:r w:rsidR="00AA19B1">
        <w:t xml:space="preserve"> – i.e. making individuals, not the state, the referent object – critical scholars have become sceptical</w:t>
      </w:r>
      <w:r w:rsidR="007B3313">
        <w:t xml:space="preserve"> about how human security is used in practi</w:t>
      </w:r>
      <w:r w:rsidR="00004388">
        <w:t>ce</w:t>
      </w:r>
      <w:r w:rsidR="00AA19B1">
        <w:t xml:space="preserve">: </w:t>
      </w:r>
      <w:r w:rsidR="00972B15" w:rsidRPr="00BD116D">
        <w:t>“Human security … was tamed by states when it became a mere instrument of foreign and development policy within the United Nations (UN) or some key states, distant from the everyday and local security concerns of people and communities”</w:t>
      </w:r>
      <w:r w:rsidR="00972B15" w:rsidRPr="00BD116D">
        <w:rPr>
          <w:rStyle w:val="FootnoteReference"/>
        </w:rPr>
        <w:footnoteReference w:id="27"/>
      </w:r>
      <w:r w:rsidR="00972B15" w:rsidRPr="00BD116D">
        <w:t xml:space="preserve"> </w:t>
      </w:r>
    </w:p>
    <w:p w14:paraId="0009C821" w14:textId="31C18A2D" w:rsidR="00972B15" w:rsidRDefault="00CA2D0B" w:rsidP="00B848D4">
      <w:r>
        <w:t>There are relevant l</w:t>
      </w:r>
      <w:r w:rsidR="00241AC6">
        <w:t>inks with securitisation and the Copenhagen School:</w:t>
      </w:r>
    </w:p>
    <w:p w14:paraId="70D30A74" w14:textId="77777777" w:rsidR="00FC58CC" w:rsidRDefault="00241AC6" w:rsidP="00241AC6">
      <w:pPr>
        <w:pStyle w:val="ListParagraph"/>
        <w:numPr>
          <w:ilvl w:val="0"/>
          <w:numId w:val="27"/>
        </w:numPr>
      </w:pPr>
      <w:r>
        <w:t xml:space="preserve">The </w:t>
      </w:r>
      <w:r w:rsidRPr="00BD116D">
        <w:t xml:space="preserve">Copenhagen School fears that issues labelled as ‘security’ will be captured by state elites and addressed through the application of zero-sum military and/or police </w:t>
      </w:r>
      <w:r w:rsidRPr="00BD116D">
        <w:lastRenderedPageBreak/>
        <w:t xml:space="preserve">practices, which may not necessarily help address human insecurities and so argues for desecuritisation (taking issues outside of the security agenda and addressing them through ‘normal’ political processes) </w:t>
      </w:r>
    </w:p>
    <w:p w14:paraId="4E99DA2F" w14:textId="77777777" w:rsidR="00FC58CC" w:rsidRDefault="00241AC6" w:rsidP="00241AC6">
      <w:pPr>
        <w:pStyle w:val="ListParagraph"/>
        <w:numPr>
          <w:ilvl w:val="0"/>
          <w:numId w:val="27"/>
        </w:numPr>
      </w:pPr>
      <w:r w:rsidRPr="00BD116D">
        <w:t xml:space="preserve">Critical scholars prefer to hold on to ‘security’ as a concept for scholarly studies while scrutinizing its use in practice. </w:t>
      </w:r>
    </w:p>
    <w:p w14:paraId="710B7B55" w14:textId="6B44EF36" w:rsidR="00241AC6" w:rsidRPr="00BD116D" w:rsidRDefault="00241AC6" w:rsidP="00241AC6">
      <w:pPr>
        <w:pStyle w:val="ListParagraph"/>
        <w:numPr>
          <w:ilvl w:val="0"/>
          <w:numId w:val="27"/>
        </w:numPr>
      </w:pPr>
      <w:r w:rsidRPr="00BD116D">
        <w:t>Ultimately, whether ‘desecuritisation’ or ‘politicising security’ helps deal with problems is an empirical question – climate change, HIV/AIDs as a security issue may have positive effects; migration as a security threat has been dangerous and dehumanising</w:t>
      </w:r>
      <w:r>
        <w:t>.</w:t>
      </w:r>
      <w:r>
        <w:rPr>
          <w:rStyle w:val="FootnoteReference"/>
        </w:rPr>
        <w:footnoteReference w:id="28"/>
      </w:r>
      <w:r w:rsidRPr="00BD116D">
        <w:t xml:space="preserve"> </w:t>
      </w:r>
    </w:p>
    <w:p w14:paraId="72DF068E" w14:textId="77777777" w:rsidR="00241AC6" w:rsidRPr="00BD116D" w:rsidRDefault="00241AC6" w:rsidP="00B848D4"/>
    <w:p w14:paraId="6146645B" w14:textId="61B72CA3" w:rsidR="00D32F88" w:rsidRPr="00BD116D" w:rsidRDefault="00D32F88" w:rsidP="00D32F88">
      <w:pPr>
        <w:pStyle w:val="Heading2"/>
      </w:pPr>
      <w:r w:rsidRPr="00BD116D">
        <w:t>Postcolonial Approaches</w:t>
      </w:r>
    </w:p>
    <w:p w14:paraId="47F231DC" w14:textId="10EAD0DF" w:rsidR="00972B15" w:rsidRPr="00BD116D" w:rsidRDefault="004932A0" w:rsidP="00972B15">
      <w:r>
        <w:t xml:space="preserve">Scholars working the postcolonial tradition have strongly criticised traditional approaches to international security which they see as not only Eurocentric but potentially complicit in sustaining hierarchies in the contemporary international system. A useful statement of the postcolonial perspective on international security by </w:t>
      </w:r>
      <w:r w:rsidR="00972B15" w:rsidRPr="00D32F88">
        <w:t>Barkawi and Laffey</w:t>
      </w:r>
      <w:r>
        <w:t xml:space="preserve"> makes some of the following key points: </w:t>
      </w:r>
    </w:p>
    <w:p w14:paraId="6E07AB5F" w14:textId="77777777" w:rsidR="00D32F88" w:rsidRPr="00D32F88" w:rsidRDefault="00D32F88" w:rsidP="009F14FE">
      <w:pPr>
        <w:pStyle w:val="ListParagraph"/>
        <w:numPr>
          <w:ilvl w:val="0"/>
          <w:numId w:val="26"/>
        </w:numPr>
      </w:pPr>
      <w:r w:rsidRPr="00D32F88">
        <w:t>‘Conventional’ security studies “is a poor basis for understanding and action in contemporary security environments.” (e.g. transnational terrorism, al-Qaeda)</w:t>
      </w:r>
      <w:r w:rsidRPr="009F14FE">
        <w:rPr>
          <w:rFonts w:ascii="Arial" w:hAnsi="Arial" w:cs="Arial"/>
        </w:rPr>
        <w:t>​</w:t>
      </w:r>
    </w:p>
    <w:p w14:paraId="37464BD5" w14:textId="77777777" w:rsidR="00D32F88" w:rsidRPr="00D32F88" w:rsidRDefault="00D32F88" w:rsidP="009F14FE">
      <w:pPr>
        <w:pStyle w:val="ListParagraph"/>
        <w:numPr>
          <w:ilvl w:val="0"/>
          <w:numId w:val="26"/>
        </w:numPr>
      </w:pPr>
      <w:r w:rsidRPr="00D32F88">
        <w:t xml:space="preserve">Why? Eurocentrism (i.e., the categories and assumptions about world politics found in security studies come from an understanding of European experience). </w:t>
      </w:r>
      <w:r w:rsidRPr="009F14FE">
        <w:rPr>
          <w:rFonts w:ascii="Arial" w:hAnsi="Arial" w:cs="Arial"/>
        </w:rPr>
        <w:t>​</w:t>
      </w:r>
    </w:p>
    <w:p w14:paraId="1ED7E8A6" w14:textId="77777777" w:rsidR="00D32F88" w:rsidRPr="00D32F88" w:rsidRDefault="00D32F88" w:rsidP="009F14FE">
      <w:pPr>
        <w:pStyle w:val="ListParagraph"/>
        <w:numPr>
          <w:ilvl w:val="0"/>
          <w:numId w:val="26"/>
        </w:numPr>
      </w:pPr>
      <w:r w:rsidRPr="00D32F88">
        <w:t xml:space="preserve">This means that the role of the global South has been systematically understated and misrepresented in security relations. </w:t>
      </w:r>
      <w:r w:rsidRPr="009F14FE">
        <w:rPr>
          <w:rFonts w:ascii="Arial" w:hAnsi="Arial" w:cs="Arial"/>
        </w:rPr>
        <w:t>​</w:t>
      </w:r>
    </w:p>
    <w:p w14:paraId="5C04D99B" w14:textId="77777777" w:rsidR="00D32F88" w:rsidRPr="00D32F88" w:rsidRDefault="00D32F88" w:rsidP="009F14FE">
      <w:pPr>
        <w:pStyle w:val="ListParagraph"/>
        <w:numPr>
          <w:ilvl w:val="0"/>
          <w:numId w:val="26"/>
        </w:numPr>
      </w:pPr>
      <w:r w:rsidRPr="00D32F88">
        <w:t xml:space="preserve">Eurocentrism also distorts analysis of Europe and its place in world politics. To understand security relations we need to acknowledge “the mutual constitution of Europe and the non-European world and their joint role in making history.” </w:t>
      </w:r>
      <w:r w:rsidRPr="009F14FE">
        <w:rPr>
          <w:rFonts w:ascii="Arial" w:hAnsi="Arial" w:cs="Arial"/>
        </w:rPr>
        <w:t>​</w:t>
      </w:r>
    </w:p>
    <w:p w14:paraId="06588DE5" w14:textId="154ADBB9" w:rsidR="00D32F88" w:rsidRPr="00BD116D" w:rsidRDefault="00D32F88" w:rsidP="00D32F88">
      <w:pPr>
        <w:pStyle w:val="ListParagraph"/>
        <w:numPr>
          <w:ilvl w:val="0"/>
          <w:numId w:val="26"/>
        </w:numPr>
      </w:pPr>
      <w:r w:rsidRPr="00D32F88">
        <w:t>We can only understand security relations if we “discard Eurocentric assumptions about the world and how it works.”</w:t>
      </w:r>
      <w:r w:rsidR="00972B15" w:rsidRPr="00BD116D">
        <w:rPr>
          <w:rStyle w:val="FootnoteReference"/>
        </w:rPr>
        <w:footnoteReference w:id="29"/>
      </w:r>
      <w:r w:rsidRPr="00D32F88">
        <w:t xml:space="preserve"> </w:t>
      </w:r>
    </w:p>
    <w:p w14:paraId="487141C2" w14:textId="5CA5E859" w:rsidR="00D32F88" w:rsidRDefault="00D32F88" w:rsidP="00D32F88">
      <w:pPr>
        <w:pStyle w:val="Heading2"/>
      </w:pPr>
      <w:r w:rsidRPr="00BD116D">
        <w:t xml:space="preserve">Feminist Approaches </w:t>
      </w:r>
    </w:p>
    <w:p w14:paraId="7E087894" w14:textId="2A0C7CCF" w:rsidR="00D32F88" w:rsidRPr="00D32F88" w:rsidRDefault="00E953F2" w:rsidP="00D32F88">
      <w:r>
        <w:rPr>
          <w:lang w:val="en-US"/>
        </w:rPr>
        <w:t>Gend</w:t>
      </w:r>
      <w:r w:rsidRPr="00E953F2">
        <w:rPr>
          <w:lang w:val="en-US"/>
        </w:rPr>
        <w:t xml:space="preserve">er </w:t>
      </w:r>
      <w:r>
        <w:rPr>
          <w:lang w:val="en-US"/>
        </w:rPr>
        <w:t xml:space="preserve">and security </w:t>
      </w:r>
      <w:r w:rsidRPr="00E953F2">
        <w:rPr>
          <w:lang w:val="en-US"/>
        </w:rPr>
        <w:t>can be studied from a non-feminist perspective</w:t>
      </w:r>
      <w:r w:rsidR="004932A0">
        <w:rPr>
          <w:lang w:val="en-US"/>
        </w:rPr>
        <w:t xml:space="preserve"> (we’ll see some examples of this later)</w:t>
      </w:r>
      <w:r w:rsidRPr="00E953F2">
        <w:rPr>
          <w:lang w:val="en-US"/>
        </w:rPr>
        <w:t>, but feminists studying global politics – and global security – “share a normative and empirical concern that the international system is gender-hierarchical”</w:t>
      </w:r>
      <w:r>
        <w:rPr>
          <w:lang w:val="en-US"/>
        </w:rPr>
        <w:t xml:space="preserve">. Some of the common </w:t>
      </w:r>
      <w:r w:rsidR="00D32F88" w:rsidRPr="00D32F88">
        <w:t xml:space="preserve">tenets of work in feminist Security Studies </w:t>
      </w:r>
      <w:r>
        <w:t>include</w:t>
      </w:r>
      <w:r w:rsidR="00D32F88" w:rsidRPr="00D32F88">
        <w:t>:</w:t>
      </w:r>
      <w:r w:rsidR="00D32F88" w:rsidRPr="00D32F88">
        <w:rPr>
          <w:rFonts w:ascii="Arial" w:hAnsi="Arial" w:cs="Arial"/>
        </w:rPr>
        <w:t>​</w:t>
      </w:r>
      <w:r w:rsidR="00BD116D">
        <w:rPr>
          <w:rStyle w:val="FootnoteReference"/>
          <w:rFonts w:ascii="Arial" w:hAnsi="Arial" w:cs="Arial"/>
        </w:rPr>
        <w:footnoteReference w:id="30"/>
      </w:r>
    </w:p>
    <w:p w14:paraId="2606B4D0" w14:textId="3596D0CF" w:rsidR="00D32F88" w:rsidRPr="00D32F88" w:rsidRDefault="00177A0C" w:rsidP="00113815">
      <w:pPr>
        <w:pStyle w:val="ListParagraph"/>
        <w:numPr>
          <w:ilvl w:val="0"/>
          <w:numId w:val="25"/>
        </w:numPr>
      </w:pPr>
      <w:r>
        <w:t>B</w:t>
      </w:r>
      <w:r w:rsidR="00D32F88" w:rsidRPr="00D32F88">
        <w:t>road understanding of security (what counts as a security issue; to whom the concept of security should be applied)</w:t>
      </w:r>
      <w:r w:rsidR="00D32F88" w:rsidRPr="00113815">
        <w:rPr>
          <w:rFonts w:ascii="Arial" w:hAnsi="Arial" w:cs="Arial"/>
        </w:rPr>
        <w:t>​</w:t>
      </w:r>
    </w:p>
    <w:p w14:paraId="6A534A87" w14:textId="77777777" w:rsidR="00D32F88" w:rsidRPr="00D32F88" w:rsidRDefault="00D32F88" w:rsidP="00113815">
      <w:pPr>
        <w:pStyle w:val="ListParagraph"/>
        <w:numPr>
          <w:ilvl w:val="0"/>
          <w:numId w:val="25"/>
        </w:numPr>
      </w:pPr>
      <w:r w:rsidRPr="00D32F88">
        <w:t xml:space="preserve">Security studies can’t be ‘gender-neutral’. </w:t>
      </w:r>
      <w:r w:rsidRPr="00113815">
        <w:rPr>
          <w:rFonts w:ascii="Arial" w:hAnsi="Arial" w:cs="Arial"/>
        </w:rPr>
        <w:t>​</w:t>
      </w:r>
    </w:p>
    <w:p w14:paraId="185F1B60" w14:textId="77777777" w:rsidR="00D32F88" w:rsidRPr="00D32F88" w:rsidRDefault="00D32F88" w:rsidP="00113815">
      <w:pPr>
        <w:pStyle w:val="ListParagraph"/>
        <w:numPr>
          <w:ilvl w:val="0"/>
          <w:numId w:val="25"/>
        </w:numPr>
      </w:pPr>
      <w:r w:rsidRPr="00D32F88">
        <w:t>Gender matters in the theory and practice of international security in many ways: e.g. “it is necessary, conceptually, for understanding international security, it is important in analyzing causes and predicting outcomes, and it is essential to thinking about solutions and promoting positive change in the security realm”</w:t>
      </w:r>
      <w:r w:rsidRPr="00113815">
        <w:rPr>
          <w:rFonts w:ascii="Arial" w:hAnsi="Arial" w:cs="Arial"/>
        </w:rPr>
        <w:t>​</w:t>
      </w:r>
    </w:p>
    <w:p w14:paraId="7CAD8F01" w14:textId="4178FEB7" w:rsidR="00D32F88" w:rsidRPr="00BD116D" w:rsidRDefault="00D32F88" w:rsidP="00D32F88">
      <w:pPr>
        <w:pStyle w:val="ListParagraph"/>
        <w:numPr>
          <w:ilvl w:val="0"/>
          <w:numId w:val="25"/>
        </w:numPr>
      </w:pPr>
      <w:r w:rsidRPr="00D32F88">
        <w:t xml:space="preserve">Feminist scholars of security: “question the supposed nonexistence of and irrelevance of women in international security politics,” interrogate “the extent to which women are </w:t>
      </w:r>
      <w:r w:rsidRPr="00D32F88">
        <w:lastRenderedPageBreak/>
        <w:t>secured by state ‘protection’ in times of war and peace,” contest “discourses where women are linked unreflectively with peace,” and critique “the assumption that gendered security practices address only women.”</w:t>
      </w:r>
    </w:p>
    <w:p w14:paraId="366ABA9F" w14:textId="706BC116" w:rsidR="00472368" w:rsidRPr="00BD116D" w:rsidRDefault="00BC0C6A" w:rsidP="00472368">
      <w:pPr>
        <w:pStyle w:val="Heading1"/>
      </w:pPr>
      <w:r w:rsidRPr="00BD116D">
        <w:t xml:space="preserve">Security </w:t>
      </w:r>
      <w:r w:rsidR="00472368" w:rsidRPr="00BD116D">
        <w:t>I</w:t>
      </w:r>
      <w:r w:rsidRPr="00BD116D">
        <w:t xml:space="preserve">nstitutions </w:t>
      </w:r>
      <w:r w:rsidR="00D3077D" w:rsidRPr="00BD116D">
        <w:t xml:space="preserve">– Responding to Insecurity </w:t>
      </w:r>
    </w:p>
    <w:p w14:paraId="13608DF9" w14:textId="7251CD9B" w:rsidR="00977B64" w:rsidRPr="00BD116D" w:rsidRDefault="004C53FE" w:rsidP="00D3077D">
      <w:r>
        <w:t xml:space="preserve">We discussed </w:t>
      </w:r>
      <w:r w:rsidR="00977B64" w:rsidRPr="00BD116D">
        <w:t>the collective action problem</w:t>
      </w:r>
      <w:r>
        <w:t xml:space="preserve"> in the week on environmental politics in relation to climate change action (or lack thereof). The problems are seemingly even more insurmountable in the security domain which remains firmly within the purview and prerogative of states rather than international organisations. </w:t>
      </w:r>
      <w:r w:rsidR="00977B64" w:rsidRPr="00BD116D">
        <w:rPr>
          <w:rFonts w:ascii="Arial" w:hAnsi="Arial" w:cs="Arial"/>
        </w:rPr>
        <w:t>​</w:t>
      </w:r>
    </w:p>
    <w:p w14:paraId="1D982D43" w14:textId="214B1CBA" w:rsidR="00977B64" w:rsidRPr="00926BA8" w:rsidRDefault="00977B64" w:rsidP="00D3077D">
      <w:r w:rsidRPr="00926BA8">
        <w:t xml:space="preserve">Can international institutions reduce insecurity (between and within states) by promoting cooperation? </w:t>
      </w:r>
      <w:r w:rsidRPr="00926BA8">
        <w:rPr>
          <w:rFonts w:ascii="Arial" w:hAnsi="Arial" w:cs="Arial"/>
        </w:rPr>
        <w:t>​</w:t>
      </w:r>
      <w:r w:rsidRPr="00926BA8">
        <w:t>Different theoretical perspectives tend towards pessimism or optimism, based on different starting assumptions</w:t>
      </w:r>
      <w:r w:rsidRPr="00926BA8">
        <w:rPr>
          <w:rFonts w:ascii="Arial" w:hAnsi="Arial" w:cs="Arial"/>
        </w:rPr>
        <w:t>​</w:t>
      </w:r>
      <w:r w:rsidR="00926BA8" w:rsidRPr="00926BA8">
        <w:rPr>
          <w:rFonts w:cs="Arial"/>
        </w:rPr>
        <w:t xml:space="preserve"> (think back to what was said earlier about realism and liberalism)</w:t>
      </w:r>
    </w:p>
    <w:p w14:paraId="720D2580" w14:textId="0E439C16" w:rsidR="00977B64" w:rsidRPr="00BD116D" w:rsidRDefault="00926BA8" w:rsidP="00D3077D">
      <w:r>
        <w:t>The</w:t>
      </w:r>
      <w:r w:rsidR="00A17BC0">
        <w:t xml:space="preserve"> problem for </w:t>
      </w:r>
      <w:r>
        <w:t>researc</w:t>
      </w:r>
      <w:r w:rsidR="00A17BC0">
        <w:t xml:space="preserve">hers and analysts is, </w:t>
      </w:r>
      <w:r w:rsidR="00977B64" w:rsidRPr="00BD116D">
        <w:t xml:space="preserve">how do we know if institutions independently promote cooperation, rather than just reflecting the balance of power? </w:t>
      </w:r>
    </w:p>
    <w:p w14:paraId="5CB31ECE" w14:textId="77777777" w:rsidR="00D3077D" w:rsidRPr="00BD116D" w:rsidRDefault="00D3077D" w:rsidP="00D3077D">
      <w:r w:rsidRPr="00BD116D">
        <w:t>The argument for:</w:t>
      </w:r>
      <w:r w:rsidRPr="00BD116D">
        <w:rPr>
          <w:rFonts w:ascii="Arial" w:hAnsi="Arial" w:cs="Arial"/>
        </w:rPr>
        <w:t>​</w:t>
      </w:r>
    </w:p>
    <w:p w14:paraId="5EB1A305" w14:textId="77777777" w:rsidR="00D3077D" w:rsidRPr="00D3077D" w:rsidRDefault="00D3077D" w:rsidP="00E049B6">
      <w:pPr>
        <w:pStyle w:val="ListParagraph"/>
        <w:numPr>
          <w:ilvl w:val="0"/>
          <w:numId w:val="28"/>
        </w:numPr>
      </w:pPr>
      <w:r w:rsidRPr="00D3077D">
        <w:t xml:space="preserve">Institutions alter behaviour and make defection less likely. </w:t>
      </w:r>
      <w:r w:rsidRPr="00E049B6">
        <w:rPr>
          <w:rFonts w:ascii="Arial" w:hAnsi="Arial" w:cs="Arial"/>
        </w:rPr>
        <w:t>​</w:t>
      </w:r>
    </w:p>
    <w:p w14:paraId="5FC7EB67" w14:textId="77777777" w:rsidR="00D3077D" w:rsidRPr="00D3077D" w:rsidRDefault="00D3077D" w:rsidP="00E049B6">
      <w:pPr>
        <w:pStyle w:val="ListParagraph"/>
        <w:numPr>
          <w:ilvl w:val="0"/>
          <w:numId w:val="28"/>
        </w:numPr>
      </w:pPr>
      <w:r w:rsidRPr="00D3077D">
        <w:t>How? Repeated interactions, issue linkage, information sharing, reduced transaction costs, shaping ideas, creating a wider 'we' feeling in security communities ...</w:t>
      </w:r>
      <w:r w:rsidRPr="00E049B6">
        <w:rPr>
          <w:rFonts w:ascii="Arial" w:hAnsi="Arial" w:cs="Arial"/>
        </w:rPr>
        <w:t>​</w:t>
      </w:r>
    </w:p>
    <w:p w14:paraId="139EC089" w14:textId="77777777" w:rsidR="00D3077D" w:rsidRPr="00D3077D" w:rsidRDefault="00D3077D" w:rsidP="00E049B6">
      <w:pPr>
        <w:pStyle w:val="ListParagraph"/>
        <w:numPr>
          <w:ilvl w:val="0"/>
          <w:numId w:val="28"/>
        </w:numPr>
      </w:pPr>
      <w:r w:rsidRPr="00D3077D">
        <w:t xml:space="preserve">E.g. the role of the EU and NATO in post-WW2 Europe </w:t>
      </w:r>
      <w:r w:rsidRPr="00E049B6">
        <w:rPr>
          <w:rFonts w:ascii="Arial" w:hAnsi="Arial" w:cs="Arial"/>
        </w:rPr>
        <w:t>​</w:t>
      </w:r>
    </w:p>
    <w:p w14:paraId="4C4D13BF" w14:textId="77777777" w:rsidR="00D3077D" w:rsidRPr="00BD116D" w:rsidRDefault="00D3077D" w:rsidP="001E322C">
      <w:r w:rsidRPr="00BD116D">
        <w:t>The argument against:</w:t>
      </w:r>
      <w:r w:rsidRPr="00BD116D">
        <w:rPr>
          <w:rFonts w:ascii="Arial" w:hAnsi="Arial" w:cs="Arial"/>
        </w:rPr>
        <w:t>​</w:t>
      </w:r>
    </w:p>
    <w:p w14:paraId="43FB6745" w14:textId="77777777" w:rsidR="00D3077D" w:rsidRPr="00D3077D" w:rsidRDefault="00D3077D" w:rsidP="00E049B6">
      <w:pPr>
        <w:pStyle w:val="ListParagraph"/>
        <w:numPr>
          <w:ilvl w:val="0"/>
          <w:numId w:val="30"/>
        </w:numPr>
      </w:pPr>
      <w:r w:rsidRPr="00D3077D">
        <w:t>Institutions are tools of statecraft, used by powerful states to serve their own interests</w:t>
      </w:r>
      <w:r w:rsidRPr="00E049B6">
        <w:rPr>
          <w:rFonts w:ascii="Arial" w:hAnsi="Arial" w:cs="Arial"/>
        </w:rPr>
        <w:t>​</w:t>
      </w:r>
    </w:p>
    <w:p w14:paraId="1EB59696" w14:textId="41CC189B" w:rsidR="00D3077D" w:rsidRPr="00D3077D" w:rsidRDefault="00D3077D" w:rsidP="00E049B6">
      <w:pPr>
        <w:pStyle w:val="ListParagraph"/>
        <w:numPr>
          <w:ilvl w:val="0"/>
          <w:numId w:val="30"/>
        </w:numPr>
      </w:pPr>
      <w:r w:rsidRPr="00D3077D">
        <w:t>Helpful in some circumstances but only when suitable conditions already exist</w:t>
      </w:r>
      <w:r w:rsidR="00E049B6">
        <w:t xml:space="preserve">. That is, </w:t>
      </w:r>
      <w:r w:rsidRPr="00D3077D">
        <w:t>institutions are effects rather than causes</w:t>
      </w:r>
      <w:r w:rsidR="00E049B6">
        <w:t xml:space="preserve"> </w:t>
      </w:r>
      <w:r w:rsidR="00E049B6" w:rsidRPr="00E049B6">
        <w:rPr>
          <w:lang w:val="en-US"/>
        </w:rPr>
        <w:t>– think about origins of EU</w:t>
      </w:r>
      <w:r w:rsidR="00E049B6">
        <w:rPr>
          <w:lang w:val="en-US"/>
        </w:rPr>
        <w:t xml:space="preserve">: did such peaceful relations between European states emerge because of the institution of the EU, or was </w:t>
      </w:r>
      <w:r w:rsidR="00C45913">
        <w:rPr>
          <w:lang w:val="en-US"/>
        </w:rPr>
        <w:t xml:space="preserve">the emergence of the institution only possible because of </w:t>
      </w:r>
      <w:r w:rsidR="00E049B6">
        <w:rPr>
          <w:lang w:val="en-US"/>
        </w:rPr>
        <w:t>the ‘hard security’ guarantees from the US and the devastation following World War 2?</w:t>
      </w:r>
    </w:p>
    <w:p w14:paraId="315070C0" w14:textId="77777777" w:rsidR="00AE7D17" w:rsidRDefault="00AE7D17" w:rsidP="00472368">
      <w:r>
        <w:t>The United Nations – including the Security Council, which has responsibility for international peace and security – is an interesting and important case to look at as the world’s preeminent international organisation and one of the few with universal membership.</w:t>
      </w:r>
    </w:p>
    <w:p w14:paraId="1E5E01C8" w14:textId="77777777" w:rsidR="00AE7D17" w:rsidRDefault="00AE7D17" w:rsidP="00472368">
      <w:r>
        <w:t>To take one example that connects a few of the themes discussed already, the landmark report ‘A More Secure World’ (2004)</w:t>
      </w:r>
      <w:r>
        <w:rPr>
          <w:rStyle w:val="FootnoteReference"/>
        </w:rPr>
        <w:footnoteReference w:id="31"/>
      </w:r>
      <w:r>
        <w:t xml:space="preserve"> illustrates the role of the UN as a norm entrepreneur and legitimising actor that provides specialist knowledge and expertise.</w:t>
      </w:r>
      <w:r>
        <w:rPr>
          <w:rStyle w:val="FootnoteReference"/>
        </w:rPr>
        <w:footnoteReference w:id="32"/>
      </w:r>
      <w:r>
        <w:t xml:space="preserve"> These lines from the report clear encapsulate the trend at the time towards a broader definition of security “beyond states waging aggressive wars”:</w:t>
      </w:r>
    </w:p>
    <w:p w14:paraId="4F5D36E9" w14:textId="4DB36567" w:rsidR="00AE7D17" w:rsidRDefault="00AE7D17" w:rsidP="00AE7D17">
      <w:pPr>
        <w:jc w:val="center"/>
      </w:pPr>
      <w:r w:rsidRPr="00AE7D17">
        <w:rPr>
          <w:noProof/>
        </w:rPr>
        <w:lastRenderedPageBreak/>
        <w:drawing>
          <wp:inline distT="0" distB="0" distL="0" distR="0" wp14:anchorId="4C50A176" wp14:editId="1C2597DD">
            <wp:extent cx="4108846" cy="1723476"/>
            <wp:effectExtent l="0" t="0" r="6350" b="0"/>
            <wp:docPr id="550517552" name="Picture 12" descr="A text on a p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 text on a page&#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26458" cy="1730863"/>
                    </a:xfrm>
                    <a:prstGeom prst="rect">
                      <a:avLst/>
                    </a:prstGeom>
                    <a:noFill/>
                    <a:ln>
                      <a:noFill/>
                    </a:ln>
                  </pic:spPr>
                </pic:pic>
              </a:graphicData>
            </a:graphic>
          </wp:inline>
        </w:drawing>
      </w:r>
    </w:p>
    <w:p w14:paraId="3E354978" w14:textId="76F8329B" w:rsidR="00F429F6" w:rsidRDefault="00F429F6" w:rsidP="00472368">
      <w:r>
        <w:t>Peacekeeping is perhaps one of the activities most closely associated with the United Nations, for good and bad reasons (and perhaps less so tha</w:t>
      </w:r>
      <w:r w:rsidR="005A260F">
        <w:t>n</w:t>
      </w:r>
      <w:r>
        <w:t xml:space="preserve"> in the past – operations have been in decline over the last few years).</w:t>
      </w:r>
    </w:p>
    <w:p w14:paraId="541B1B00" w14:textId="77777777" w:rsidR="00670F6E" w:rsidRDefault="00F429F6" w:rsidP="00670F6E">
      <w:pPr>
        <w:keepNext/>
        <w:jc w:val="center"/>
      </w:pPr>
      <w:r w:rsidRPr="00F429F6">
        <w:rPr>
          <w:noProof/>
        </w:rPr>
        <w:drawing>
          <wp:inline distT="0" distB="0" distL="0" distR="0" wp14:anchorId="53BE23F4" wp14:editId="78498B84">
            <wp:extent cx="3975614" cy="3187186"/>
            <wp:effectExtent l="0" t="0" r="6350" b="0"/>
            <wp:docPr id="80848715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83741" cy="3193701"/>
                    </a:xfrm>
                    <a:prstGeom prst="rect">
                      <a:avLst/>
                    </a:prstGeom>
                    <a:noFill/>
                    <a:ln>
                      <a:noFill/>
                    </a:ln>
                  </pic:spPr>
                </pic:pic>
              </a:graphicData>
            </a:graphic>
          </wp:inline>
        </w:drawing>
      </w:r>
    </w:p>
    <w:p w14:paraId="04C806AF" w14:textId="5EC9474E" w:rsidR="00F429F6" w:rsidRDefault="00670F6E" w:rsidP="00670F6E">
      <w:pPr>
        <w:pStyle w:val="Caption"/>
        <w:jc w:val="center"/>
      </w:pPr>
      <w:r>
        <w:t xml:space="preserve">Figure </w:t>
      </w:r>
      <w:fldSimple w:instr=" SEQ Figure \* ARABIC ">
        <w:r>
          <w:rPr>
            <w:noProof/>
          </w:rPr>
          <w:t>7</w:t>
        </w:r>
      </w:fldSimple>
      <w:r>
        <w:t xml:space="preserve"> </w:t>
      </w:r>
      <w:r w:rsidRPr="008122D6">
        <w:t>https://ourworldindata.org/war-and-peace</w:t>
      </w:r>
    </w:p>
    <w:p w14:paraId="43B875EB" w14:textId="77777777" w:rsidR="00F429F6" w:rsidRDefault="00F429F6" w:rsidP="00472368"/>
    <w:p w14:paraId="68689B98" w14:textId="77777777" w:rsidR="00670F6E" w:rsidRDefault="00F429F6" w:rsidP="00670F6E">
      <w:pPr>
        <w:keepNext/>
        <w:jc w:val="center"/>
      </w:pPr>
      <w:r w:rsidRPr="00F429F6">
        <w:rPr>
          <w:noProof/>
        </w:rPr>
        <w:lastRenderedPageBreak/>
        <w:drawing>
          <wp:inline distT="0" distB="0" distL="0" distR="0" wp14:anchorId="307918CE" wp14:editId="53FA4A1B">
            <wp:extent cx="4066734" cy="2870053"/>
            <wp:effectExtent l="0" t="0" r="0" b="6985"/>
            <wp:docPr id="163335071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71414" cy="2873356"/>
                    </a:xfrm>
                    <a:prstGeom prst="rect">
                      <a:avLst/>
                    </a:prstGeom>
                    <a:noFill/>
                    <a:ln>
                      <a:noFill/>
                    </a:ln>
                  </pic:spPr>
                </pic:pic>
              </a:graphicData>
            </a:graphic>
          </wp:inline>
        </w:drawing>
      </w:r>
    </w:p>
    <w:p w14:paraId="44FDBF81" w14:textId="160758EE" w:rsidR="00F429F6" w:rsidRDefault="00670F6E" w:rsidP="00670F6E">
      <w:pPr>
        <w:pStyle w:val="Caption"/>
        <w:jc w:val="center"/>
      </w:pPr>
      <w:r>
        <w:t xml:space="preserve">Figure </w:t>
      </w:r>
      <w:fldSimple w:instr=" SEQ Figure \* ARABIC ">
        <w:r>
          <w:rPr>
            <w:noProof/>
          </w:rPr>
          <w:t>8</w:t>
        </w:r>
      </w:fldSimple>
      <w:r>
        <w:t xml:space="preserve"> </w:t>
      </w:r>
      <w:r w:rsidRPr="009A6211">
        <w:t>https://ourworldindata.org/war-and-peace</w:t>
      </w:r>
    </w:p>
    <w:p w14:paraId="6083FBF1" w14:textId="77777777" w:rsidR="00F429F6" w:rsidRPr="009160B9" w:rsidRDefault="00F429F6" w:rsidP="00472368"/>
    <w:p w14:paraId="4B000A3B" w14:textId="74D9134E" w:rsidR="00D15979" w:rsidRPr="009160B9" w:rsidRDefault="00F429F6" w:rsidP="009160B9">
      <w:pPr>
        <w:rPr>
          <w:lang w:val="en-US"/>
        </w:rPr>
      </w:pPr>
      <w:r w:rsidRPr="009160B9">
        <w:t>Does p</w:t>
      </w:r>
      <w:r w:rsidR="00C06FCB" w:rsidRPr="009160B9">
        <w:t>eacekeeping work</w:t>
      </w:r>
      <w:r w:rsidRPr="009160B9">
        <w:t>? Yes</w:t>
      </w:r>
      <w:r w:rsidR="00C06FCB" w:rsidRPr="009160B9">
        <w:t xml:space="preserve"> </w:t>
      </w:r>
      <w:r w:rsidR="00A45A90" w:rsidRPr="009160B9">
        <w:t xml:space="preserve">… </w:t>
      </w:r>
      <w:r w:rsidR="00C06FCB" w:rsidRPr="009160B9">
        <w:t>sort of</w:t>
      </w:r>
      <w:r w:rsidR="00A45A90" w:rsidRPr="009160B9">
        <w:t>,</w:t>
      </w:r>
      <w:r w:rsidR="00A45A90" w:rsidRPr="009160B9">
        <w:rPr>
          <w:rStyle w:val="FootnoteReference"/>
        </w:rPr>
        <w:footnoteReference w:id="33"/>
      </w:r>
      <w:r w:rsidR="00A45A90" w:rsidRPr="009160B9">
        <w:t xml:space="preserve"> having learned from its many failures</w:t>
      </w:r>
      <w:r w:rsidR="00F348B7" w:rsidRPr="009160B9">
        <w:t xml:space="preserve"> especially in the 1990s in places like Rwanda and Bosnia</w:t>
      </w:r>
      <w:r w:rsidR="00A45A90" w:rsidRPr="009160B9">
        <w:t>.</w:t>
      </w:r>
      <w:r w:rsidR="00D122AA" w:rsidRPr="009160B9">
        <w:t xml:space="preserve"> W</w:t>
      </w:r>
      <w:r w:rsidR="00D15979" w:rsidRPr="009160B9">
        <w:rPr>
          <w:lang w:val="en-US"/>
        </w:rPr>
        <w:t>hen peacekeepers are deployed, wars are less likely to recur and violence against civilians declines (compared to case where there are no peacekeepers)</w:t>
      </w:r>
      <w:r w:rsidR="00D15979" w:rsidRPr="009160B9">
        <w:rPr>
          <w:rFonts w:ascii="Arial" w:hAnsi="Arial" w:cs="Arial"/>
          <w:lang w:val="en-US"/>
        </w:rPr>
        <w:t>​</w:t>
      </w:r>
      <w:r w:rsidR="009160B9">
        <w:rPr>
          <w:rFonts w:ascii="Arial" w:hAnsi="Arial" w:cs="Arial"/>
          <w:lang w:val="en-US"/>
        </w:rPr>
        <w:t>.</w:t>
      </w:r>
    </w:p>
    <w:p w14:paraId="34408DB1" w14:textId="30C39D3E" w:rsidR="00C06FCB" w:rsidRPr="00BD116D" w:rsidRDefault="0081707D" w:rsidP="00472368">
      <w:r>
        <w:t>Nonetheless, many remain critical</w:t>
      </w:r>
      <w:r w:rsidR="00D56EC5">
        <w:t>.</w:t>
      </w:r>
      <w:r w:rsidR="00A45A90">
        <w:rPr>
          <w:rStyle w:val="FootnoteReference"/>
        </w:rPr>
        <w:footnoteReference w:id="34"/>
      </w:r>
      <w:r w:rsidR="00A45A90">
        <w:t xml:space="preserve"> </w:t>
      </w:r>
      <w:r w:rsidR="00D56EC5">
        <w:t>T</w:t>
      </w:r>
      <w:r>
        <w:t xml:space="preserve">here have </w:t>
      </w:r>
      <w:r w:rsidR="00D56EC5">
        <w:t xml:space="preserve">also </w:t>
      </w:r>
      <w:r>
        <w:t>been many major errors (such as when a UN mission accidentally introduced cholera into Haiti) and grievous crimes committed by peacekeepers, notably sexual abuse and exploitation of those the peacekeepers were supposed to be protecting</w:t>
      </w:r>
      <w:r w:rsidR="00A45A90">
        <w:rPr>
          <w:rStyle w:val="FootnoteReference"/>
        </w:rPr>
        <w:footnoteReference w:id="35"/>
      </w:r>
      <w:r w:rsidR="00C06FCB" w:rsidRPr="00BD116D">
        <w:t xml:space="preserve"> </w:t>
      </w:r>
      <w:r>
        <w:t xml:space="preserve">in another example of </w:t>
      </w:r>
      <w:r w:rsidR="00A45A90">
        <w:t xml:space="preserve">the </w:t>
      </w:r>
      <w:r w:rsidR="008977EB">
        <w:t xml:space="preserve">disturbing frequency with which those tasked with providing security end up violating it. </w:t>
      </w:r>
    </w:p>
    <w:p w14:paraId="7CFBDDC4" w14:textId="77777777" w:rsidR="00DA42B1" w:rsidRPr="00BD116D" w:rsidRDefault="00DA42B1" w:rsidP="008175CC"/>
    <w:p w14:paraId="26D320FA" w14:textId="77777777" w:rsidR="00316B66" w:rsidRPr="00BD116D" w:rsidRDefault="00BC0C6A" w:rsidP="00A84D32">
      <w:pPr>
        <w:pStyle w:val="Heading1"/>
      </w:pPr>
      <w:r w:rsidRPr="00BD116D">
        <w:t xml:space="preserve">Women, Peace and Security </w:t>
      </w:r>
    </w:p>
    <w:p w14:paraId="509D0FE8" w14:textId="3C6B559F" w:rsidR="0061033D" w:rsidRDefault="000A46F2" w:rsidP="0061033D">
      <w:pPr>
        <w:rPr>
          <w:rFonts w:ascii="Arial" w:hAnsi="Arial" w:cs="Arial"/>
        </w:rPr>
      </w:pPr>
      <w:r>
        <w:t xml:space="preserve">When the </w:t>
      </w:r>
      <w:r w:rsidR="0061033D" w:rsidRPr="00BD116D">
        <w:t xml:space="preserve">UN Security Council </w:t>
      </w:r>
      <w:r>
        <w:t xml:space="preserve">passed </w:t>
      </w:r>
      <w:r w:rsidR="0061033D" w:rsidRPr="00BD116D">
        <w:t xml:space="preserve">Resolution 1325 </w:t>
      </w:r>
      <w:r>
        <w:t xml:space="preserve">in </w:t>
      </w:r>
      <w:r w:rsidR="0061033D" w:rsidRPr="00BD116D">
        <w:t>2000</w:t>
      </w:r>
      <w:r>
        <w:t xml:space="preserve">, it was </w:t>
      </w:r>
      <w:r w:rsidR="0061033D" w:rsidRPr="00BD116D">
        <w:t>a 'landmark' development emphasising "the important role of women in the prevention and resolution of conflicts, peace negotiations, peacebuilding, peacekeeping, humanitarian response and in post-conflict reconstruction and stresses the importance of their equal participation and full involvement in all efforts for the maintenance and promotion of peace and security."</w:t>
      </w:r>
      <w:r w:rsidR="0061033D" w:rsidRPr="00BD116D">
        <w:rPr>
          <w:rFonts w:ascii="Arial" w:hAnsi="Arial" w:cs="Arial"/>
        </w:rPr>
        <w:t>​</w:t>
      </w:r>
      <w:r>
        <w:rPr>
          <w:rStyle w:val="FootnoteReference"/>
          <w:rFonts w:ascii="Arial" w:hAnsi="Arial" w:cs="Arial"/>
        </w:rPr>
        <w:footnoteReference w:id="36"/>
      </w:r>
    </w:p>
    <w:p w14:paraId="1A5CBDDB" w14:textId="7755C4CF" w:rsidR="00920884" w:rsidRPr="00BD116D" w:rsidRDefault="00920884" w:rsidP="00920884">
      <w:r>
        <w:t>We can see this development as part of the broader trend already discussed in this lecture – a shift in understandings of security from a state-centric approach to a person-centric approach</w:t>
      </w:r>
      <w:r w:rsidR="00D93886">
        <w:t xml:space="preserve"> and part of changing norms and ideas about what security is, who it for, and how to go about achieving it. </w:t>
      </w:r>
    </w:p>
    <w:p w14:paraId="7600CA08" w14:textId="0D7476B9" w:rsidR="00AE7C93" w:rsidRDefault="006E11BD" w:rsidP="008175CC">
      <w:r>
        <w:lastRenderedPageBreak/>
        <w:t>Resolution 1325 is o</w:t>
      </w:r>
      <w:r w:rsidR="0061033D" w:rsidRPr="00BD116D">
        <w:t xml:space="preserve">ne part of a much broader WPS cross-cutting agenda </w:t>
      </w:r>
      <w:r w:rsidR="00986D4A">
        <w:t xml:space="preserve">and has </w:t>
      </w:r>
      <w:r w:rsidR="0061033D" w:rsidRPr="00BD116D">
        <w:t>"significant potential to prevent con</w:t>
      </w:r>
      <w:r w:rsidR="0061033D" w:rsidRPr="00BD116D">
        <w:rPr>
          <w:rFonts w:ascii="Aptos" w:hAnsi="Aptos" w:cs="Aptos"/>
        </w:rPr>
        <w:t>f</w:t>
      </w:r>
      <w:r w:rsidR="0061033D" w:rsidRPr="00BD116D">
        <w:t>licts, protect human rights, and promote recovery from con</w:t>
      </w:r>
      <w:r w:rsidR="0061033D" w:rsidRPr="00BD116D">
        <w:rPr>
          <w:rFonts w:ascii="Aptos" w:hAnsi="Aptos" w:cs="Aptos"/>
        </w:rPr>
        <w:t>f</w:t>
      </w:r>
      <w:r w:rsidR="0061033D" w:rsidRPr="00BD116D">
        <w:t>lict"</w:t>
      </w:r>
      <w:r w:rsidR="00986D4A">
        <w:t xml:space="preserve"> (see below for some of the empirical research supporting this agenda’s aims)</w:t>
      </w:r>
      <w:r w:rsidR="0061033D" w:rsidRPr="00BD116D">
        <w:rPr>
          <w:rFonts w:ascii="Arial" w:hAnsi="Arial" w:cs="Arial"/>
        </w:rPr>
        <w:t xml:space="preserve">. </w:t>
      </w:r>
      <w:r w:rsidR="0061033D" w:rsidRPr="00BD116D">
        <w:t>But progress has been "inadequate" and faced institutional resistance.</w:t>
      </w:r>
      <w:r w:rsidR="0061033D" w:rsidRPr="00BD116D">
        <w:rPr>
          <w:rStyle w:val="FootnoteReference"/>
        </w:rPr>
        <w:footnoteReference w:id="37"/>
      </w:r>
      <w:r w:rsidR="000F1A13">
        <w:t xml:space="preserve"> </w:t>
      </w:r>
    </w:p>
    <w:p w14:paraId="17980A6D" w14:textId="2C02126E" w:rsidR="00920884" w:rsidRPr="00920884" w:rsidRDefault="00920884" w:rsidP="008175CC">
      <w:pPr>
        <w:rPr>
          <w:rFonts w:ascii="Arial" w:hAnsi="Arial" w:cs="Arial"/>
        </w:rPr>
      </w:pPr>
      <w:r>
        <w:t>A</w:t>
      </w:r>
      <w:r w:rsidR="00E7236A">
        <w:t xml:space="preserve"> major</w:t>
      </w:r>
      <w:r>
        <w:t xml:space="preserve"> review conducted 15 years after Resolution 1325 found there had been mixed progress. While there were positive trends in some key indictors – such as an increase in the number of peace agreements that include references to women, a greater number of senior women leaders in the UN, and increases in aid on gender equality – in other areas there had been little progress: level of women participating as negotiators in peace processes and as </w:t>
      </w:r>
      <w:r w:rsidR="005F5B28">
        <w:t>part of peace operations is very low, funding for WPS programmes and processes is “abysmally low” and doesn’t match the rhetoric, and despite a strengthened legal framework, prosecutions of perpetrators of sexual violence remains low.</w:t>
      </w:r>
      <w:r w:rsidR="005F5B28">
        <w:rPr>
          <w:rStyle w:val="FootnoteReference"/>
        </w:rPr>
        <w:footnoteReference w:id="38"/>
      </w:r>
    </w:p>
    <w:p w14:paraId="5B5C80CD" w14:textId="0F526E6D" w:rsidR="0061033D" w:rsidRDefault="00E7236A" w:rsidP="0061033D">
      <w:r>
        <w:t>The most recent annual report on progress in the WPS agenda “</w:t>
      </w:r>
      <w:r w:rsidRPr="00E7236A">
        <w:t>presents a sobering assessment of the lack of progress over the past decade</w:t>
      </w:r>
      <w:r>
        <w:t>”</w:t>
      </w:r>
      <w:r>
        <w:rPr>
          <w:rStyle w:val="FootnoteReference"/>
        </w:rPr>
        <w:footnoteReference w:id="39"/>
      </w:r>
      <w:r w:rsidR="00A31980">
        <w:t xml:space="preserve"> and offers a ‘stark warning’: “</w:t>
      </w:r>
      <w:r w:rsidR="00A31980" w:rsidRPr="00A31980">
        <w:t>Amid record levels of armed conflict and violence, progress made over decades is vanishing before our eyes. Generational gains in women’s rights hang in the balance around the world.</w:t>
      </w:r>
      <w:r w:rsidR="00A31980">
        <w:t>”</w:t>
      </w:r>
      <w:r w:rsidR="00A31980">
        <w:rPr>
          <w:rStyle w:val="FootnoteReference"/>
        </w:rPr>
        <w:footnoteReference w:id="40"/>
      </w:r>
    </w:p>
    <w:p w14:paraId="6C8BC912" w14:textId="77777777" w:rsidR="00A31980" w:rsidRPr="00BD116D" w:rsidRDefault="00A31980" w:rsidP="0061033D"/>
    <w:p w14:paraId="3B90FE9F" w14:textId="318F23C8" w:rsidR="0061033D" w:rsidRPr="00BD116D" w:rsidRDefault="0061033D" w:rsidP="00A31980">
      <w:pPr>
        <w:pStyle w:val="Heading2"/>
      </w:pPr>
      <w:r w:rsidRPr="00BD116D">
        <w:t>Does More Equality for Women Mean Less War?</w:t>
      </w:r>
    </w:p>
    <w:p w14:paraId="4484FAA5" w14:textId="0C25EF70" w:rsidR="0061033D" w:rsidRPr="00BD116D" w:rsidRDefault="006B1A72" w:rsidP="006B1A72">
      <w:r>
        <w:t xml:space="preserve">The WPS agenda is based on </w:t>
      </w:r>
      <w:r w:rsidR="00BF234B">
        <w:t>an e</w:t>
      </w:r>
      <w:r w:rsidR="0061033D" w:rsidRPr="00BD116D">
        <w:t>merging and growing research agenda</w:t>
      </w:r>
      <w:r w:rsidR="00BF234B">
        <w:t xml:space="preserve"> </w:t>
      </w:r>
      <w:r w:rsidR="00734B24">
        <w:t xml:space="preserve">that is </w:t>
      </w:r>
      <w:r w:rsidR="00BF234B">
        <w:t>trying to answer this and related questions</w:t>
      </w:r>
      <w:r w:rsidR="0061033D" w:rsidRPr="00BD116D">
        <w:t>.</w:t>
      </w:r>
      <w:r w:rsidR="00BF234B">
        <w:t xml:space="preserve"> As with most interesting and important topics, the findings are still u</w:t>
      </w:r>
      <w:r w:rsidR="0061033D" w:rsidRPr="00BD116D">
        <w:t xml:space="preserve">nclear </w:t>
      </w:r>
      <w:r w:rsidR="00BF234B">
        <w:t xml:space="preserve">and we don’t know </w:t>
      </w:r>
      <w:r w:rsidR="0061033D" w:rsidRPr="00BD116D">
        <w:t>exactly what the relationship is between gender, sex and war</w:t>
      </w:r>
      <w:r w:rsidR="00BF234B">
        <w:t>. But, several findings are receiving a lot of empirical support:</w:t>
      </w:r>
      <w:r w:rsidR="0061033D" w:rsidRPr="00BD116D">
        <w:rPr>
          <w:rFonts w:ascii="Arial" w:hAnsi="Arial" w:cs="Arial"/>
        </w:rPr>
        <w:t>​</w:t>
      </w:r>
      <w:r w:rsidR="0061033D" w:rsidRPr="00BD116D">
        <w:rPr>
          <w:rStyle w:val="FootnoteReference"/>
          <w:rFonts w:ascii="Arial" w:hAnsi="Arial" w:cs="Arial"/>
        </w:rPr>
        <w:footnoteReference w:id="41"/>
      </w:r>
    </w:p>
    <w:p w14:paraId="075D819B" w14:textId="5D7FE178" w:rsidR="006E11BD" w:rsidRDefault="006E11BD" w:rsidP="006E11BD">
      <w:pPr>
        <w:pStyle w:val="ListParagraph"/>
        <w:numPr>
          <w:ilvl w:val="0"/>
          <w:numId w:val="30"/>
        </w:numPr>
      </w:pPr>
      <w:r>
        <w:t xml:space="preserve">“the very best predictor of a state’s peacefulness is not its level of wealth, its level of democracy, or its ethno-religious identity; the best predictor of a state’s peacefulness is how well its women are treated.” (Hudson) </w:t>
      </w:r>
    </w:p>
    <w:p w14:paraId="09D16484" w14:textId="56031C9E" w:rsidR="0061033D" w:rsidRPr="00BD116D" w:rsidRDefault="0061033D" w:rsidP="00577A8A">
      <w:pPr>
        <w:pStyle w:val="ListParagraph"/>
        <w:numPr>
          <w:ilvl w:val="0"/>
          <w:numId w:val="30"/>
        </w:numPr>
      </w:pPr>
      <w:r w:rsidRPr="00BD116D">
        <w:t>Women's representation in parliament, their relative education levels, and lower violence against women are all associated with a lower risk of war</w:t>
      </w:r>
      <w:r w:rsidRPr="00577A8A">
        <w:rPr>
          <w:rFonts w:ascii="Arial" w:hAnsi="Arial" w:cs="Arial"/>
        </w:rPr>
        <w:t>​</w:t>
      </w:r>
    </w:p>
    <w:p w14:paraId="2BBF6585" w14:textId="74F146A3" w:rsidR="0061033D" w:rsidRPr="00BD116D" w:rsidRDefault="0061033D" w:rsidP="00577A8A">
      <w:pPr>
        <w:pStyle w:val="ListParagraph"/>
        <w:numPr>
          <w:ilvl w:val="0"/>
          <w:numId w:val="30"/>
        </w:numPr>
      </w:pPr>
      <w:r w:rsidRPr="00BD116D">
        <w:t xml:space="preserve">Peace processes that include women are more durable (but women are usually excluded) </w:t>
      </w:r>
      <w:r w:rsidRPr="00BD116D">
        <w:tab/>
      </w:r>
    </w:p>
    <w:p w14:paraId="24B12F76" w14:textId="77777777" w:rsidR="0061033D" w:rsidRPr="0061033D" w:rsidRDefault="0061033D" w:rsidP="0061033D">
      <w:r w:rsidRPr="0061033D">
        <w:rPr>
          <w:rFonts w:ascii="Arial" w:hAnsi="Arial" w:cs="Arial"/>
        </w:rPr>
        <w:t>​</w:t>
      </w:r>
    </w:p>
    <w:p w14:paraId="05D5FF2D" w14:textId="77777777" w:rsidR="00E86861" w:rsidRPr="00BD116D" w:rsidRDefault="00E86861" w:rsidP="00021A0A"/>
    <w:p w14:paraId="503788CE" w14:textId="77777777" w:rsidR="00E86861" w:rsidRPr="00BD116D" w:rsidRDefault="00E86861">
      <w:pPr>
        <w:rPr>
          <w:rFonts w:asciiTheme="majorHAnsi" w:eastAsiaTheme="majorEastAsia" w:hAnsiTheme="majorHAnsi" w:cstheme="majorBidi"/>
          <w:color w:val="0F4761" w:themeColor="accent1" w:themeShade="BF"/>
          <w:sz w:val="40"/>
          <w:szCs w:val="40"/>
        </w:rPr>
      </w:pPr>
      <w:r w:rsidRPr="00BD116D">
        <w:br w:type="page"/>
      </w:r>
    </w:p>
    <w:p w14:paraId="258768A1" w14:textId="3CDB9D8A" w:rsidR="00E86861" w:rsidRPr="00BD116D" w:rsidRDefault="00E86861" w:rsidP="00E86861">
      <w:pPr>
        <w:pStyle w:val="Heading1"/>
      </w:pPr>
      <w:r w:rsidRPr="00BD116D">
        <w:lastRenderedPageBreak/>
        <w:t xml:space="preserve">References </w:t>
      </w:r>
    </w:p>
    <w:p w14:paraId="5D016822" w14:textId="77777777" w:rsidR="00545F4E" w:rsidRPr="00545F4E" w:rsidRDefault="00A749AB" w:rsidP="00545F4E">
      <w:pPr>
        <w:pStyle w:val="Bibliography"/>
      </w:pPr>
      <w:r w:rsidRPr="00BD116D">
        <w:fldChar w:fldCharType="begin"/>
      </w:r>
      <w:r w:rsidRPr="00BD116D">
        <w:instrText xml:space="preserve"> ADDIN ZOTERO_BIBL {"uncited":[],"omitted":[],"custom":[]} CSL_BIBLIOGRAPHY </w:instrText>
      </w:r>
      <w:r w:rsidRPr="00BD116D">
        <w:fldChar w:fldCharType="separate"/>
      </w:r>
      <w:r w:rsidR="00545F4E" w:rsidRPr="00545F4E">
        <w:t xml:space="preserve">Allum, Felia, and Stan Gilmour, eds. </w:t>
      </w:r>
      <w:r w:rsidR="00545F4E" w:rsidRPr="00545F4E">
        <w:rPr>
          <w:i/>
          <w:iCs/>
        </w:rPr>
        <w:t>The Routledge Handbook of Transnational Organized Crime</w:t>
      </w:r>
      <w:r w:rsidR="00545F4E" w:rsidRPr="00545F4E">
        <w:t>. Second edition. Routledge., 2022.</w:t>
      </w:r>
    </w:p>
    <w:p w14:paraId="1A04D7DD" w14:textId="77777777" w:rsidR="00545F4E" w:rsidRPr="00545F4E" w:rsidRDefault="00545F4E" w:rsidP="00545F4E">
      <w:pPr>
        <w:pStyle w:val="Bibliography"/>
      </w:pPr>
      <w:r w:rsidRPr="00545F4E">
        <w:t xml:space="preserve">Autesserre, Severine. ‘The Crisis of Peacekeeping: Why the UN Can’t End Wars’. </w:t>
      </w:r>
      <w:r w:rsidRPr="00545F4E">
        <w:rPr>
          <w:i/>
          <w:iCs/>
        </w:rPr>
        <w:t>Foreign Affairs</w:t>
      </w:r>
      <w:r w:rsidRPr="00545F4E">
        <w:t xml:space="preserve"> 98, no. 1 (2019): 101–16.</w:t>
      </w:r>
    </w:p>
    <w:p w14:paraId="46DA0842" w14:textId="77777777" w:rsidR="00545F4E" w:rsidRPr="00545F4E" w:rsidRDefault="00545F4E" w:rsidP="00545F4E">
      <w:pPr>
        <w:pStyle w:val="Bibliography"/>
      </w:pPr>
      <w:r w:rsidRPr="00545F4E">
        <w:t xml:space="preserve">Baldwin, David A. ‘The Concept of Security’. </w:t>
      </w:r>
      <w:r w:rsidRPr="00545F4E">
        <w:rPr>
          <w:i/>
          <w:iCs/>
        </w:rPr>
        <w:t>Review of International Studies</w:t>
      </w:r>
      <w:r w:rsidRPr="00545F4E">
        <w:t xml:space="preserve"> 23, no. 1 (1 January 1997): 5–26.</w:t>
      </w:r>
    </w:p>
    <w:p w14:paraId="357BB70D" w14:textId="77777777" w:rsidR="00545F4E" w:rsidRPr="00545F4E" w:rsidRDefault="00545F4E" w:rsidP="00545F4E">
      <w:pPr>
        <w:pStyle w:val="Bibliography"/>
      </w:pPr>
      <w:r w:rsidRPr="00545F4E">
        <w:t xml:space="preserve">Balzacq, Thierry, Sarah Léonard, and Jan Ruzicka. ‘“Securitization” Revisited: Theory and Cases’. </w:t>
      </w:r>
      <w:r w:rsidRPr="00545F4E">
        <w:rPr>
          <w:i/>
          <w:iCs/>
        </w:rPr>
        <w:t>International Relations</w:t>
      </w:r>
      <w:r w:rsidRPr="00545F4E">
        <w:t xml:space="preserve"> 30, no. 4 (1 December 2016): 494–531. https://doi.org/10.1177/0047117815596590.</w:t>
      </w:r>
    </w:p>
    <w:p w14:paraId="662A36DA" w14:textId="77777777" w:rsidR="00545F4E" w:rsidRPr="00545F4E" w:rsidRDefault="00545F4E" w:rsidP="00545F4E">
      <w:pPr>
        <w:pStyle w:val="Bibliography"/>
      </w:pPr>
      <w:r w:rsidRPr="00545F4E">
        <w:t xml:space="preserve">Barkawi, Tarak, and Mark Laffey. ‘The Postcolonial Moment in Security Studies’. </w:t>
      </w:r>
      <w:r w:rsidRPr="00545F4E">
        <w:rPr>
          <w:i/>
          <w:iCs/>
        </w:rPr>
        <w:t>Review of International Studies</w:t>
      </w:r>
      <w:r w:rsidRPr="00545F4E">
        <w:t xml:space="preserve"> 32, no. 02 (April 2006): 329. https://doi.org/10.1017/S0260210506007054.</w:t>
      </w:r>
    </w:p>
    <w:p w14:paraId="7C872DD2" w14:textId="77777777" w:rsidR="00545F4E" w:rsidRPr="00545F4E" w:rsidRDefault="00545F4E" w:rsidP="00545F4E">
      <w:pPr>
        <w:pStyle w:val="Bibliography"/>
      </w:pPr>
      <w:r w:rsidRPr="00545F4E">
        <w:t xml:space="preserve">Barnes, Nicholas. ‘Criminal Politics: An Integrated Approach to the Study of Organized Crime, Politics, and Violence’. </w:t>
      </w:r>
      <w:r w:rsidRPr="00545F4E">
        <w:rPr>
          <w:i/>
          <w:iCs/>
        </w:rPr>
        <w:t>Perspectives on Politics</w:t>
      </w:r>
      <w:r w:rsidRPr="00545F4E">
        <w:t xml:space="preserve"> 15, no. 4 (December 2017): 967–87. https://doi.org/10.1017/S1537592717002110.</w:t>
      </w:r>
    </w:p>
    <w:p w14:paraId="68F5CF51" w14:textId="77777777" w:rsidR="00545F4E" w:rsidRPr="00545F4E" w:rsidRDefault="00545F4E" w:rsidP="00545F4E">
      <w:pPr>
        <w:pStyle w:val="Bibliography"/>
      </w:pPr>
      <w:r w:rsidRPr="00545F4E">
        <w:t xml:space="preserve">Barnett, Michael N., and Martha Finnemore. ‘The Politics, Power, and Pathologies of International Organizations’. </w:t>
      </w:r>
      <w:r w:rsidRPr="00545F4E">
        <w:rPr>
          <w:i/>
          <w:iCs/>
        </w:rPr>
        <w:t>International Organization</w:t>
      </w:r>
      <w:r w:rsidRPr="00545F4E">
        <w:t xml:space="preserve"> 53, no. 4 (1 October 1999): 699–732.</w:t>
      </w:r>
    </w:p>
    <w:p w14:paraId="391F4459" w14:textId="77777777" w:rsidR="00545F4E" w:rsidRPr="00545F4E" w:rsidRDefault="00545F4E" w:rsidP="00545F4E">
      <w:pPr>
        <w:pStyle w:val="Bibliography"/>
      </w:pPr>
      <w:r w:rsidRPr="00545F4E">
        <w:t xml:space="preserve">Berdal, Mats. ‘Beyond Greed and Grievance – and Not Too Soon …’. </w:t>
      </w:r>
      <w:r w:rsidRPr="00545F4E">
        <w:rPr>
          <w:i/>
          <w:iCs/>
        </w:rPr>
        <w:t>Review of International Studies</w:t>
      </w:r>
      <w:r w:rsidRPr="00545F4E">
        <w:t xml:space="preserve"> 31, no. 04 (2005): 687–98. https://doi.org/10.1017/S0260210505006698.</w:t>
      </w:r>
    </w:p>
    <w:p w14:paraId="7F8DCFB6" w14:textId="77777777" w:rsidR="00545F4E" w:rsidRPr="00545F4E" w:rsidRDefault="00545F4E" w:rsidP="00545F4E">
      <w:pPr>
        <w:pStyle w:val="Bibliography"/>
      </w:pPr>
      <w:r w:rsidRPr="00545F4E">
        <w:t xml:space="preserve">Booth, Ken. ‘Security and Emancipation’. </w:t>
      </w:r>
      <w:r w:rsidRPr="00545F4E">
        <w:rPr>
          <w:i/>
          <w:iCs/>
        </w:rPr>
        <w:t>Review of International Studies</w:t>
      </w:r>
      <w:r w:rsidRPr="00545F4E">
        <w:t xml:space="preserve"> 17, no. 04 (October 1991): 313. https://doi.org/10.1017/S0260210500112033.</w:t>
      </w:r>
    </w:p>
    <w:p w14:paraId="7E6680F5" w14:textId="77777777" w:rsidR="00545F4E" w:rsidRPr="00545F4E" w:rsidRDefault="00545F4E" w:rsidP="00545F4E">
      <w:pPr>
        <w:pStyle w:val="Bibliography"/>
      </w:pPr>
      <w:r w:rsidRPr="00545F4E">
        <w:t xml:space="preserve">Booth, Ken, and Nicholas J Wheeler. </w:t>
      </w:r>
      <w:r w:rsidRPr="00545F4E">
        <w:rPr>
          <w:i/>
          <w:iCs/>
        </w:rPr>
        <w:t>The Security Dilemma: Fear, Cooperation, and Trust in World Politics</w:t>
      </w:r>
      <w:r w:rsidRPr="00545F4E">
        <w:t>. Palgrave Macmillan, 2008.</w:t>
      </w:r>
    </w:p>
    <w:p w14:paraId="3D6E4358" w14:textId="77777777" w:rsidR="00545F4E" w:rsidRPr="00545F4E" w:rsidRDefault="00545F4E" w:rsidP="00545F4E">
      <w:pPr>
        <w:pStyle w:val="Bibliography"/>
      </w:pPr>
      <w:r w:rsidRPr="00545F4E">
        <w:t xml:space="preserve">Braumoeller, Bear F. </w:t>
      </w:r>
      <w:r w:rsidRPr="00545F4E">
        <w:rPr>
          <w:i/>
          <w:iCs/>
        </w:rPr>
        <w:t>Only the Dead: The Persistence of War in the Modern Age</w:t>
      </w:r>
      <w:r w:rsidRPr="00545F4E">
        <w:t>. Oxford University Press, 2019.</w:t>
      </w:r>
    </w:p>
    <w:p w14:paraId="4A1A690D" w14:textId="77777777" w:rsidR="00545F4E" w:rsidRPr="00545F4E" w:rsidRDefault="00545F4E" w:rsidP="00545F4E">
      <w:pPr>
        <w:pStyle w:val="Bibliography"/>
      </w:pPr>
      <w:r w:rsidRPr="00545F4E">
        <w:t xml:space="preserve">———. ‘World War II Was 75 Years Ago. But Big Wars Can Still Happen.’ </w:t>
      </w:r>
      <w:r w:rsidRPr="00545F4E">
        <w:rPr>
          <w:i/>
          <w:iCs/>
        </w:rPr>
        <w:t>Washington Post</w:t>
      </w:r>
      <w:r w:rsidRPr="00545F4E">
        <w:t>, 2 September 2020. https://www.washingtonpost.com/politics/2020/09/02/world-war-ii-was-75-years-ago-big-wars-can-still-happen/.</w:t>
      </w:r>
    </w:p>
    <w:p w14:paraId="723CE8A4" w14:textId="77777777" w:rsidR="00545F4E" w:rsidRPr="00545F4E" w:rsidRDefault="00545F4E" w:rsidP="00545F4E">
      <w:pPr>
        <w:pStyle w:val="Bibliography"/>
      </w:pPr>
      <w:r w:rsidRPr="00545F4E">
        <w:t xml:space="preserve">Buzan, Barry, Ole Waever, and Jaap de Wilde. </w:t>
      </w:r>
      <w:r w:rsidRPr="00545F4E">
        <w:rPr>
          <w:i/>
          <w:iCs/>
        </w:rPr>
        <w:t>Security: A New Framework for Analysis</w:t>
      </w:r>
      <w:r w:rsidRPr="00545F4E">
        <w:t>. Boulder, Colo: L. Rienner, 1998.</w:t>
      </w:r>
    </w:p>
    <w:p w14:paraId="25B5E260" w14:textId="77777777" w:rsidR="00545F4E" w:rsidRPr="00545F4E" w:rsidRDefault="00545F4E" w:rsidP="00545F4E">
      <w:pPr>
        <w:pStyle w:val="Bibliography"/>
      </w:pPr>
      <w:r w:rsidRPr="00545F4E">
        <w:t xml:space="preserve">Cederman, Lars-Erik, Andreas Wimmer, and Brian Min. ‘Why Do Ethnic Groups Rebel?: New Data and Analysis’. </w:t>
      </w:r>
      <w:r w:rsidRPr="00545F4E">
        <w:rPr>
          <w:i/>
          <w:iCs/>
        </w:rPr>
        <w:t>World Politics</w:t>
      </w:r>
      <w:r w:rsidRPr="00545F4E">
        <w:t xml:space="preserve"> 62, no. 1 (2010): 87–119.</w:t>
      </w:r>
    </w:p>
    <w:p w14:paraId="4DBA4E06" w14:textId="77777777" w:rsidR="00545F4E" w:rsidRPr="00545F4E" w:rsidRDefault="00545F4E" w:rsidP="00545F4E">
      <w:pPr>
        <w:pStyle w:val="Bibliography"/>
      </w:pPr>
      <w:r w:rsidRPr="00545F4E">
        <w:t xml:space="preserve">Cohen, Dara Kay, and Sabrina M. Karim. ‘Does More Equality for Women Mean Less War? Rethinking Sex and Gender Inequality and Political Violence’. </w:t>
      </w:r>
      <w:r w:rsidRPr="00545F4E">
        <w:rPr>
          <w:i/>
          <w:iCs/>
        </w:rPr>
        <w:t>International Organization</w:t>
      </w:r>
      <w:r w:rsidRPr="00545F4E">
        <w:t xml:space="preserve"> 76, no. 2 (ed 2022): 414–44. https://doi.org/10.1017/S0020818321000333.</w:t>
      </w:r>
    </w:p>
    <w:p w14:paraId="7F500B27" w14:textId="77777777" w:rsidR="00545F4E" w:rsidRPr="00545F4E" w:rsidRDefault="00545F4E" w:rsidP="00545F4E">
      <w:pPr>
        <w:pStyle w:val="Bibliography"/>
      </w:pPr>
      <w:r w:rsidRPr="00545F4E">
        <w:t xml:space="preserve">Collier, Paul. ‘Rebellion as a Quasi-Criminal Activity’. </w:t>
      </w:r>
      <w:r w:rsidRPr="00545F4E">
        <w:rPr>
          <w:i/>
          <w:iCs/>
        </w:rPr>
        <w:t>Journal of Conflict Resolution</w:t>
      </w:r>
      <w:r w:rsidRPr="00545F4E">
        <w:t xml:space="preserve"> 44, no. 6 (2000): 839–53.</w:t>
      </w:r>
    </w:p>
    <w:p w14:paraId="3CC8C23E" w14:textId="77777777" w:rsidR="00545F4E" w:rsidRPr="00545F4E" w:rsidRDefault="00545F4E" w:rsidP="00545F4E">
      <w:pPr>
        <w:pStyle w:val="Bibliography"/>
      </w:pPr>
      <w:r w:rsidRPr="00545F4E">
        <w:t xml:space="preserve">Davenport, Christian. ‘State Repression and Political Order’. </w:t>
      </w:r>
      <w:r w:rsidRPr="00545F4E">
        <w:rPr>
          <w:i/>
          <w:iCs/>
        </w:rPr>
        <w:t>Annual Review of Political Science</w:t>
      </w:r>
      <w:r w:rsidRPr="00545F4E">
        <w:t xml:space="preserve"> 10, no. 1 (2007): 1–23. https://doi.org/10.1146/annurev.polisci.10.101405.143216.</w:t>
      </w:r>
    </w:p>
    <w:p w14:paraId="7CD08DBA" w14:textId="77777777" w:rsidR="00545F4E" w:rsidRPr="00545F4E" w:rsidRDefault="00545F4E" w:rsidP="00545F4E">
      <w:pPr>
        <w:pStyle w:val="Bibliography"/>
      </w:pPr>
      <w:r w:rsidRPr="00545F4E">
        <w:t xml:space="preserve">Davies, Sara E., and Jacqui True. ‘Women, Peace, and Security: A Transformative Agenda?’ In </w:t>
      </w:r>
      <w:r w:rsidRPr="00545F4E">
        <w:rPr>
          <w:i/>
          <w:iCs/>
        </w:rPr>
        <w:t>The Oxford Handbook of Women, Peace, and Security</w:t>
      </w:r>
      <w:r w:rsidRPr="00545F4E">
        <w:t>, edited by Sara E. Davies and Jacqui True, 0. Oxford University Press, 2019. https://doi.org/10.1093/oxfordhb/9780190638276.013.1.</w:t>
      </w:r>
    </w:p>
    <w:p w14:paraId="67DA042A" w14:textId="77777777" w:rsidR="00545F4E" w:rsidRPr="00545F4E" w:rsidRDefault="00545F4E" w:rsidP="00545F4E">
      <w:pPr>
        <w:pStyle w:val="Bibliography"/>
      </w:pPr>
      <w:r w:rsidRPr="00545F4E">
        <w:t xml:space="preserve">Diehl, Paul F, Gary Goertz, and Yahve Gallegos. ‘Peace Data: Concept, Measurement, Patterns, and Research Agenda’. </w:t>
      </w:r>
      <w:r w:rsidRPr="00545F4E">
        <w:rPr>
          <w:i/>
          <w:iCs/>
        </w:rPr>
        <w:t>Conflict Management and Peace Science</w:t>
      </w:r>
      <w:r w:rsidRPr="00545F4E">
        <w:t xml:space="preserve"> 38, no. 5 (1 September 2021): 605–24. https://doi.org/10.1177/0738894219870288.</w:t>
      </w:r>
    </w:p>
    <w:p w14:paraId="31DEB92B" w14:textId="77777777" w:rsidR="00545F4E" w:rsidRPr="00545F4E" w:rsidRDefault="00545F4E" w:rsidP="00545F4E">
      <w:pPr>
        <w:pStyle w:val="Bibliography"/>
      </w:pPr>
      <w:r w:rsidRPr="00545F4E">
        <w:lastRenderedPageBreak/>
        <w:t xml:space="preserve">Finnemore, Martha, and Kathryn Sikkink. ‘Taking Stock: The Constructivist Research Program in International Relations and Comparative Politics’. </w:t>
      </w:r>
      <w:r w:rsidRPr="00545F4E">
        <w:rPr>
          <w:i/>
          <w:iCs/>
        </w:rPr>
        <w:t>Annual Review of Political Science</w:t>
      </w:r>
      <w:r w:rsidRPr="00545F4E">
        <w:t xml:space="preserve"> 4, no. 1 (1 June 2001): 391–416. https://doi.org/10.1146/annurev.polisci.4.1.391.</w:t>
      </w:r>
    </w:p>
    <w:p w14:paraId="48726E67" w14:textId="77777777" w:rsidR="00545F4E" w:rsidRPr="00545F4E" w:rsidRDefault="00545F4E" w:rsidP="00545F4E">
      <w:pPr>
        <w:pStyle w:val="Bibliography"/>
      </w:pPr>
      <w:r w:rsidRPr="00545F4E">
        <w:t xml:space="preserve">Floyd, Rita. ‘Extraordinary or Ordinary Emergency Measures: What, and Who, Defines the “Success” of Securitization?’ </w:t>
      </w:r>
      <w:r w:rsidRPr="00545F4E">
        <w:rPr>
          <w:i/>
          <w:iCs/>
        </w:rPr>
        <w:t>Cambridge Review of International Affairs</w:t>
      </w:r>
      <w:r w:rsidRPr="00545F4E">
        <w:t xml:space="preserve"> 29, no. 2 (2 April 2016): 677–94. https://doi.org/10.1080/09557571.2015.1077651.</w:t>
      </w:r>
    </w:p>
    <w:p w14:paraId="69023FB4" w14:textId="77777777" w:rsidR="00545F4E" w:rsidRPr="00545F4E" w:rsidRDefault="00545F4E" w:rsidP="00545F4E">
      <w:pPr>
        <w:pStyle w:val="Bibliography"/>
      </w:pPr>
      <w:r w:rsidRPr="00545F4E">
        <w:t>Galeotti, Mark. ‘Gangster Geopolitics: The Kremlin’s Use of Criminals as Assets Abroad’. Russian Matters, 17 January 2019. https://www.russiamatters.org/analysis/gangster-geopolitics-kremlins-use-criminals-assets-abroad.</w:t>
      </w:r>
    </w:p>
    <w:p w14:paraId="1652D7E0" w14:textId="77777777" w:rsidR="00545F4E" w:rsidRPr="00545F4E" w:rsidRDefault="00545F4E" w:rsidP="00545F4E">
      <w:pPr>
        <w:pStyle w:val="Bibliography"/>
      </w:pPr>
      <w:r w:rsidRPr="00545F4E">
        <w:t>———. ‘Russia’s Use of Organized Crime as an Instrument of Statecraft’. Global Initiative Against Transnational Organized Crime, November 2024. https://globalinitiative.net/analysis/gangsters-at-war-russias-use-of-organized-crime-as-an-instrument-of-statecraft/.</w:t>
      </w:r>
    </w:p>
    <w:p w14:paraId="03306D0B" w14:textId="77777777" w:rsidR="00545F4E" w:rsidRPr="00545F4E" w:rsidRDefault="00545F4E" w:rsidP="00545F4E">
      <w:pPr>
        <w:pStyle w:val="Bibliography"/>
      </w:pPr>
      <w:r w:rsidRPr="00545F4E">
        <w:t xml:space="preserve">Goertz, Gary, Paul F Diehl, and Alexandru Balas. </w:t>
      </w:r>
      <w:r w:rsidRPr="00545F4E">
        <w:rPr>
          <w:i/>
          <w:iCs/>
        </w:rPr>
        <w:t>The Puzzle of Peace: The Evolution of Peace in the International System</w:t>
      </w:r>
      <w:r w:rsidRPr="00545F4E">
        <w:t>. Oxford University Press, 2016.</w:t>
      </w:r>
    </w:p>
    <w:p w14:paraId="73D3E91A" w14:textId="77777777" w:rsidR="00545F4E" w:rsidRPr="00545F4E" w:rsidRDefault="00545F4E" w:rsidP="00545F4E">
      <w:pPr>
        <w:pStyle w:val="Bibliography"/>
      </w:pPr>
      <w:r w:rsidRPr="00545F4E">
        <w:t xml:space="preserve">Goldstein, Joshua S. </w:t>
      </w:r>
      <w:r w:rsidRPr="00545F4E">
        <w:rPr>
          <w:i/>
          <w:iCs/>
        </w:rPr>
        <w:t>Winning the War on War: The Decline of Armed Conflict Worldwide</w:t>
      </w:r>
      <w:r w:rsidRPr="00545F4E">
        <w:t>. New York: Penguin Group, 2011.</w:t>
      </w:r>
    </w:p>
    <w:p w14:paraId="23A28DCD" w14:textId="77777777" w:rsidR="00545F4E" w:rsidRPr="00545F4E" w:rsidRDefault="00545F4E" w:rsidP="00545F4E">
      <w:pPr>
        <w:pStyle w:val="Bibliography"/>
      </w:pPr>
      <w:r w:rsidRPr="00545F4E">
        <w:t xml:space="preserve">Hudson, Valerie M. ‘What Sex Means for World Peace’. </w:t>
      </w:r>
      <w:r w:rsidRPr="00545F4E">
        <w:rPr>
          <w:i/>
          <w:iCs/>
        </w:rPr>
        <w:t>Foreign Policy</w:t>
      </w:r>
      <w:r w:rsidRPr="00545F4E">
        <w:t xml:space="preserve"> (blog), 15 November 2024. https://foreignpolicy.com/2012/04/24/what-sex-means-for-world-peace/.</w:t>
      </w:r>
    </w:p>
    <w:p w14:paraId="2E26A58D" w14:textId="77777777" w:rsidR="00545F4E" w:rsidRPr="00545F4E" w:rsidRDefault="00545F4E" w:rsidP="00545F4E">
      <w:pPr>
        <w:pStyle w:val="Bibliography"/>
      </w:pPr>
      <w:r w:rsidRPr="00545F4E">
        <w:t xml:space="preserve">Human Security Report Project. </w:t>
      </w:r>
      <w:r w:rsidRPr="00545F4E">
        <w:rPr>
          <w:i/>
          <w:iCs/>
        </w:rPr>
        <w:t>Human Security Report 2013: The Decline in Global Violence: Evidence, Explanation, and Contestation</w:t>
      </w:r>
      <w:r w:rsidRPr="00545F4E">
        <w:t>. Vancouver: Human Security Press, 2013.</w:t>
      </w:r>
    </w:p>
    <w:p w14:paraId="1BA9CEEB" w14:textId="77777777" w:rsidR="00545F4E" w:rsidRPr="00545F4E" w:rsidRDefault="00545F4E" w:rsidP="00545F4E">
      <w:pPr>
        <w:pStyle w:val="Bibliography"/>
      </w:pPr>
      <w:r w:rsidRPr="00545F4E">
        <w:t xml:space="preserve">Karim, Sabrina, and Kyle Beardsley. ‘Explaining Sexual Exploitation and Abuse in Peacekeeping Missions: The Role of Female Peacekeepers and Gender Equality in Contributing Countries’. </w:t>
      </w:r>
      <w:r w:rsidRPr="00545F4E">
        <w:rPr>
          <w:i/>
          <w:iCs/>
        </w:rPr>
        <w:t>Journal of Peace Research</w:t>
      </w:r>
      <w:r w:rsidRPr="00545F4E">
        <w:t xml:space="preserve"> 53, no. 1 (1 January 2016): 100–115. https://doi.org/10.1177/0022343315615506.</w:t>
      </w:r>
    </w:p>
    <w:p w14:paraId="5C73C5CA" w14:textId="77777777" w:rsidR="00545F4E" w:rsidRPr="00545F4E" w:rsidRDefault="00545F4E" w:rsidP="00545F4E">
      <w:pPr>
        <w:pStyle w:val="Bibliography"/>
      </w:pPr>
      <w:r w:rsidRPr="00545F4E">
        <w:t xml:space="preserve">Karstedt, Susanne. ‘Organizing Crime: The State as Agent’. In </w:t>
      </w:r>
      <w:r w:rsidRPr="00545F4E">
        <w:rPr>
          <w:i/>
          <w:iCs/>
        </w:rPr>
        <w:t>The Oxford Handbook of Organized Crime</w:t>
      </w:r>
      <w:r w:rsidRPr="00545F4E">
        <w:t>, edited by Letizia Paoli, 0. Oxford University Press, 2014. https://doi.org/10.1093/oxfordhb/9780199730445.013.031.</w:t>
      </w:r>
    </w:p>
    <w:p w14:paraId="6077CDF7" w14:textId="77777777" w:rsidR="00545F4E" w:rsidRPr="00545F4E" w:rsidRDefault="00545F4E" w:rsidP="00545F4E">
      <w:pPr>
        <w:pStyle w:val="Bibliography"/>
      </w:pPr>
      <w:r w:rsidRPr="00545F4E">
        <w:t xml:space="preserve">Keating, Joshua. ‘It’s Not Your Imagination. There Has Been More War Lately.’ </w:t>
      </w:r>
      <w:r w:rsidRPr="00545F4E">
        <w:rPr>
          <w:i/>
          <w:iCs/>
        </w:rPr>
        <w:t>Vox</w:t>
      </w:r>
      <w:r w:rsidRPr="00545F4E">
        <w:t>, 25 January 2024. https://www.vox.com/world-politics/2024/1/25/24049551/war-increasing-ukraine-gaza-sudan-ethiopia.</w:t>
      </w:r>
    </w:p>
    <w:p w14:paraId="6F257909" w14:textId="77777777" w:rsidR="00545F4E" w:rsidRPr="00545F4E" w:rsidRDefault="00545F4E" w:rsidP="00545F4E">
      <w:pPr>
        <w:pStyle w:val="Bibliography"/>
      </w:pPr>
      <w:r w:rsidRPr="00545F4E">
        <w:t xml:space="preserve">Krause, Jana, Werner Krause, and Piia Bränfors. ‘Women’s Participation in Peace Negotiations and the Durability of Peace’. </w:t>
      </w:r>
      <w:r w:rsidRPr="00545F4E">
        <w:rPr>
          <w:i/>
          <w:iCs/>
        </w:rPr>
        <w:t>International Interactions</w:t>
      </w:r>
      <w:r w:rsidRPr="00545F4E">
        <w:t xml:space="preserve"> 44, no. 6 (2 November 2018): 985–1016. https://doi.org/10.1080/03050629.2018.1492386.</w:t>
      </w:r>
    </w:p>
    <w:p w14:paraId="0BA13539" w14:textId="77777777" w:rsidR="00545F4E" w:rsidRPr="00545F4E" w:rsidRDefault="00545F4E" w:rsidP="00545F4E">
      <w:pPr>
        <w:pStyle w:val="Bibliography"/>
      </w:pPr>
      <w:r w:rsidRPr="00545F4E">
        <w:t xml:space="preserve">Krause, Keith. ‘Critical Theory and Security Studies: The Research Programme of `Critical Security Studies’’. </w:t>
      </w:r>
      <w:r w:rsidRPr="00545F4E">
        <w:rPr>
          <w:i/>
          <w:iCs/>
        </w:rPr>
        <w:t>Cooperation and Conflict</w:t>
      </w:r>
      <w:r w:rsidRPr="00545F4E">
        <w:t xml:space="preserve"> 33, no. 3 (1 September 1998): 298–333. https://doi.org/10.1177/0010836798033003004.</w:t>
      </w:r>
    </w:p>
    <w:p w14:paraId="4283955D" w14:textId="77777777" w:rsidR="00545F4E" w:rsidRPr="00545F4E" w:rsidRDefault="00545F4E" w:rsidP="00545F4E">
      <w:pPr>
        <w:pStyle w:val="Bibliography"/>
      </w:pPr>
      <w:r w:rsidRPr="00545F4E">
        <w:t xml:space="preserve">———. ‘Emancipation and Critique in Peace and Conflict Research’. </w:t>
      </w:r>
      <w:r w:rsidRPr="00545F4E">
        <w:rPr>
          <w:i/>
          <w:iCs/>
        </w:rPr>
        <w:t>Journal of Global Security Studies</w:t>
      </w:r>
      <w:r w:rsidRPr="00545F4E">
        <w:t xml:space="preserve"> 4, no. 2 (1 April 2019): 292–98. https://doi.org/10.1093/jogss/ogy049.</w:t>
      </w:r>
    </w:p>
    <w:p w14:paraId="4D05D977" w14:textId="77777777" w:rsidR="00545F4E" w:rsidRPr="00545F4E" w:rsidRDefault="00545F4E" w:rsidP="00545F4E">
      <w:pPr>
        <w:pStyle w:val="Bibliography"/>
      </w:pPr>
      <w:r w:rsidRPr="00545F4E">
        <w:t xml:space="preserve">Lessing, Benjamin. ‘Conceptualizing Criminal Governance’. </w:t>
      </w:r>
      <w:r w:rsidRPr="00545F4E">
        <w:rPr>
          <w:i/>
          <w:iCs/>
        </w:rPr>
        <w:t>Perspectives on Politics</w:t>
      </w:r>
      <w:r w:rsidRPr="00545F4E">
        <w:t>, undefined/ed, 1–20. https://doi.org/10.1017/S1537592720001243.</w:t>
      </w:r>
    </w:p>
    <w:p w14:paraId="74748B69" w14:textId="77777777" w:rsidR="00545F4E" w:rsidRPr="00545F4E" w:rsidRDefault="00545F4E" w:rsidP="00545F4E">
      <w:pPr>
        <w:pStyle w:val="Bibliography"/>
      </w:pPr>
      <w:r w:rsidRPr="00545F4E">
        <w:t>Mailey, J. R. ‘Iran’s Criminal Statecraft: How Tehran Weaponizes Illicit Markets’. Global Initiative Against Transnational Organized Crime, October 2024. https://globalinitiative.net/analysis/irans-criminal-statecraft-how-teheran-weaponizes-illicit-markets/.</w:t>
      </w:r>
    </w:p>
    <w:p w14:paraId="36152B8A" w14:textId="77777777" w:rsidR="00545F4E" w:rsidRPr="00545F4E" w:rsidRDefault="00545F4E" w:rsidP="00545F4E">
      <w:pPr>
        <w:pStyle w:val="Bibliography"/>
      </w:pPr>
      <w:r w:rsidRPr="00545F4E">
        <w:t xml:space="preserve">Orlova, Alexandra V. ‘Russia: A Mafia State, Politics and Shifting Power Dynamics’. In </w:t>
      </w:r>
      <w:r w:rsidRPr="00545F4E">
        <w:rPr>
          <w:i/>
          <w:iCs/>
        </w:rPr>
        <w:t>Handbook of Organised Crime and Politics</w:t>
      </w:r>
      <w:r w:rsidRPr="00545F4E">
        <w:t>, edited by Felia Allum and Stan Gilmour. Edward Elgar Publishing Limited, 2019.</w:t>
      </w:r>
    </w:p>
    <w:p w14:paraId="6534124A" w14:textId="77777777" w:rsidR="00545F4E" w:rsidRPr="00545F4E" w:rsidRDefault="00545F4E" w:rsidP="00545F4E">
      <w:pPr>
        <w:pStyle w:val="Bibliography"/>
      </w:pPr>
      <w:r w:rsidRPr="00545F4E">
        <w:t xml:space="preserve">Pinker, Steven. </w:t>
      </w:r>
      <w:r w:rsidRPr="00545F4E">
        <w:rPr>
          <w:i/>
          <w:iCs/>
        </w:rPr>
        <w:t>The Better Angels of Our Nature: Why Violence Has Declined</w:t>
      </w:r>
      <w:r w:rsidRPr="00545F4E">
        <w:t>. New York: Viking, 2011.</w:t>
      </w:r>
    </w:p>
    <w:p w14:paraId="19AE93D3" w14:textId="77777777" w:rsidR="00545F4E" w:rsidRPr="00545F4E" w:rsidRDefault="00545F4E" w:rsidP="00545F4E">
      <w:pPr>
        <w:pStyle w:val="Bibliography"/>
      </w:pPr>
      <w:r w:rsidRPr="00545F4E">
        <w:lastRenderedPageBreak/>
        <w:t xml:space="preserve">Posen, Barry R. ‘The Security Dilemma and Ethnic Conflict’. </w:t>
      </w:r>
      <w:r w:rsidRPr="00545F4E">
        <w:rPr>
          <w:i/>
          <w:iCs/>
        </w:rPr>
        <w:t>Survival</w:t>
      </w:r>
      <w:r w:rsidRPr="00545F4E">
        <w:t xml:space="preserve"> 35, no. 1 (1993): 27–47. https://doi.org/10.1080/00396339308442672.</w:t>
      </w:r>
    </w:p>
    <w:p w14:paraId="5969D18E" w14:textId="77777777" w:rsidR="00545F4E" w:rsidRPr="00545F4E" w:rsidRDefault="00545F4E" w:rsidP="00545F4E">
      <w:pPr>
        <w:pStyle w:val="Bibliography"/>
      </w:pPr>
      <w:r w:rsidRPr="00545F4E">
        <w:t xml:space="preserve">Sjoberg, Laura. ‘Introduction to Security Studies: Feminist Contributions’. </w:t>
      </w:r>
      <w:r w:rsidRPr="00545F4E">
        <w:rPr>
          <w:i/>
          <w:iCs/>
        </w:rPr>
        <w:t>Security Studies</w:t>
      </w:r>
      <w:r w:rsidRPr="00545F4E">
        <w:t xml:space="preserve"> 18, no. 2 (12 June 2009): 183–213. https://doi.org/10.1080/09636410902900129.</w:t>
      </w:r>
    </w:p>
    <w:p w14:paraId="4B990E80" w14:textId="77777777" w:rsidR="00545F4E" w:rsidRPr="00545F4E" w:rsidRDefault="00545F4E" w:rsidP="00545F4E">
      <w:pPr>
        <w:pStyle w:val="Bibliography"/>
      </w:pPr>
      <w:r w:rsidRPr="00545F4E">
        <w:t xml:space="preserve">Snyder, Timothy. ‘War No More’. </w:t>
      </w:r>
      <w:r w:rsidRPr="00545F4E">
        <w:rPr>
          <w:i/>
          <w:iCs/>
        </w:rPr>
        <w:t>Foreign Affairs</w:t>
      </w:r>
      <w:r w:rsidRPr="00545F4E">
        <w:t>, 1 January 2012. http://www.foreignaffairs.com/articles/136957/timothy-snyder/war-no-more?page=show.</w:t>
      </w:r>
    </w:p>
    <w:p w14:paraId="49CE1D24" w14:textId="77777777" w:rsidR="00545F4E" w:rsidRPr="00545F4E" w:rsidRDefault="00545F4E" w:rsidP="00545F4E">
      <w:pPr>
        <w:pStyle w:val="Bibliography"/>
      </w:pPr>
      <w:r w:rsidRPr="00545F4E">
        <w:t xml:space="preserve">Tang, Shiping. ‘The Security Dilemma: A Conceptual Analysis’. </w:t>
      </w:r>
      <w:r w:rsidRPr="00545F4E">
        <w:rPr>
          <w:i/>
          <w:iCs/>
        </w:rPr>
        <w:t>Security Studies</w:t>
      </w:r>
      <w:r w:rsidRPr="00545F4E">
        <w:t xml:space="preserve"> 18, no. 3 (2009): 587–623. https://doi.org/10.1080/09636410903133050.</w:t>
      </w:r>
    </w:p>
    <w:p w14:paraId="0340C35A" w14:textId="77777777" w:rsidR="00545F4E" w:rsidRPr="00545F4E" w:rsidRDefault="00545F4E" w:rsidP="00545F4E">
      <w:pPr>
        <w:pStyle w:val="Bibliography"/>
      </w:pPr>
      <w:r w:rsidRPr="00545F4E">
        <w:t xml:space="preserve">Tilly, Charles. ‘War Making and State Making as Organized Crime’. In </w:t>
      </w:r>
      <w:r w:rsidRPr="00545F4E">
        <w:rPr>
          <w:i/>
          <w:iCs/>
        </w:rPr>
        <w:t>Bringing the State Back In</w:t>
      </w:r>
      <w:r w:rsidRPr="00545F4E">
        <w:t>, edited by Peter B. Evans, Dietrich Rueschemeyer, and Theda Skocpol. Cambridge University Press, 1985.</w:t>
      </w:r>
    </w:p>
    <w:p w14:paraId="6692FBEE" w14:textId="77777777" w:rsidR="00545F4E" w:rsidRPr="00545F4E" w:rsidRDefault="00545F4E" w:rsidP="00545F4E">
      <w:pPr>
        <w:pStyle w:val="Bibliography"/>
      </w:pPr>
      <w:r w:rsidRPr="00545F4E">
        <w:t xml:space="preserve">United Nations. </w:t>
      </w:r>
      <w:r w:rsidRPr="00545F4E">
        <w:rPr>
          <w:i/>
          <w:iCs/>
        </w:rPr>
        <w:t>A More Secure World: Our Shared Responsibility</w:t>
      </w:r>
      <w:r w:rsidRPr="00545F4E">
        <w:rPr>
          <w:rFonts w:ascii="Arial" w:hAnsi="Arial" w:cs="Arial"/>
          <w:i/>
          <w:iCs/>
        </w:rPr>
        <w:t> </w:t>
      </w:r>
      <w:r w:rsidRPr="00545F4E">
        <w:rPr>
          <w:i/>
          <w:iCs/>
        </w:rPr>
        <w:t>: Report of the High-Level Panel on Threats, Challenges, and Change.</w:t>
      </w:r>
      <w:r w:rsidRPr="00545F4E">
        <w:t xml:space="preserve"> United Nations, 2004. https://www.un.org/peacebuilding/sites/www.un.org.peacebuilding/files/documents/hlp_more_secure_world.pdf.</w:t>
      </w:r>
    </w:p>
    <w:p w14:paraId="2FD7C80F" w14:textId="77777777" w:rsidR="00545F4E" w:rsidRPr="00545F4E" w:rsidRDefault="00545F4E" w:rsidP="00545F4E">
      <w:pPr>
        <w:pStyle w:val="Bibliography"/>
      </w:pPr>
      <w:r w:rsidRPr="00545F4E">
        <w:t xml:space="preserve">———. ‘Human Development Report 1994’. </w:t>
      </w:r>
      <w:r w:rsidRPr="00545F4E">
        <w:rPr>
          <w:i/>
          <w:iCs/>
        </w:rPr>
        <w:t>Human Development Reports</w:t>
      </w:r>
      <w:r w:rsidRPr="00545F4E">
        <w:t>. United Nations, 1994. https://hdr.undp.org/content/human-development-report-1994.</w:t>
      </w:r>
    </w:p>
    <w:p w14:paraId="0422B5D4" w14:textId="77777777" w:rsidR="00545F4E" w:rsidRPr="00545F4E" w:rsidRDefault="00545F4E" w:rsidP="00545F4E">
      <w:pPr>
        <w:pStyle w:val="Bibliography"/>
      </w:pPr>
      <w:r w:rsidRPr="00545F4E">
        <w:t xml:space="preserve">Walt, Stephen M. ‘The Renaissance of Security Studies’. </w:t>
      </w:r>
      <w:r w:rsidRPr="00545F4E">
        <w:rPr>
          <w:i/>
          <w:iCs/>
        </w:rPr>
        <w:t>International Studies Quarterly</w:t>
      </w:r>
      <w:r w:rsidRPr="00545F4E">
        <w:t xml:space="preserve"> 35, no. 2 (1 June 1991): 211–39. https://doi.org/10.2307/2600471.</w:t>
      </w:r>
    </w:p>
    <w:p w14:paraId="42A63957" w14:textId="77777777" w:rsidR="00545F4E" w:rsidRPr="00545F4E" w:rsidRDefault="00545F4E" w:rsidP="00545F4E">
      <w:pPr>
        <w:pStyle w:val="Bibliography"/>
      </w:pPr>
      <w:r w:rsidRPr="00545F4E">
        <w:t xml:space="preserve">Walter, Barbara F., Lise Morje Howard, and V. Page Fortna. ‘The Extraordinary Relationship between Peacekeeping and Peace’. </w:t>
      </w:r>
      <w:r w:rsidRPr="00545F4E">
        <w:rPr>
          <w:i/>
          <w:iCs/>
        </w:rPr>
        <w:t>British Journal of Political Science</w:t>
      </w:r>
      <w:r w:rsidRPr="00545F4E">
        <w:t xml:space="preserve"> 51, no. 4 (2021): 1705–22. https://doi.org/10.1017/S000712342000023X.</w:t>
      </w:r>
    </w:p>
    <w:p w14:paraId="7DF2A8B3" w14:textId="77777777" w:rsidR="00545F4E" w:rsidRPr="00545F4E" w:rsidRDefault="00545F4E" w:rsidP="00545F4E">
      <w:pPr>
        <w:pStyle w:val="Bibliography"/>
      </w:pPr>
      <w:r w:rsidRPr="00545F4E">
        <w:t xml:space="preserve">Wendt, Alexander. </w:t>
      </w:r>
      <w:r w:rsidRPr="00545F4E">
        <w:rPr>
          <w:i/>
          <w:iCs/>
        </w:rPr>
        <w:t>Social Theory of International Politics</w:t>
      </w:r>
      <w:r w:rsidRPr="00545F4E">
        <w:t>. Cambridge Studies in International Relations 67. Cambridge University Press, 1999.</w:t>
      </w:r>
    </w:p>
    <w:p w14:paraId="613EE305" w14:textId="77777777" w:rsidR="00545F4E" w:rsidRPr="00545F4E" w:rsidRDefault="00545F4E" w:rsidP="00545F4E">
      <w:pPr>
        <w:pStyle w:val="Bibliography"/>
      </w:pPr>
      <w:r w:rsidRPr="00545F4E">
        <w:t xml:space="preserve">White, Hugh. </w:t>
      </w:r>
      <w:r w:rsidRPr="00545F4E">
        <w:rPr>
          <w:i/>
          <w:iCs/>
        </w:rPr>
        <w:t>The Idea of National Security: What Use Is It to Policymakers?</w:t>
      </w:r>
      <w:r w:rsidRPr="00545F4E">
        <w:t xml:space="preserve"> National Security College, The Australian National University, 2012. https://core.ac.uk/download/pdf/30679259.pdf.</w:t>
      </w:r>
    </w:p>
    <w:p w14:paraId="44982ABB" w14:textId="77777777" w:rsidR="00545F4E" w:rsidRPr="00545F4E" w:rsidRDefault="00545F4E" w:rsidP="00545F4E">
      <w:pPr>
        <w:pStyle w:val="Bibliography"/>
      </w:pPr>
      <w:r w:rsidRPr="00545F4E">
        <w:t xml:space="preserve">Williams, Paul D., ed. </w:t>
      </w:r>
      <w:r w:rsidRPr="00545F4E">
        <w:rPr>
          <w:i/>
          <w:iCs/>
        </w:rPr>
        <w:t>Security Studies: An Introduction</w:t>
      </w:r>
      <w:r w:rsidRPr="00545F4E">
        <w:t>. Third edition. Routledge, 2018.</w:t>
      </w:r>
    </w:p>
    <w:p w14:paraId="1F2E39A3" w14:textId="12959ABC" w:rsidR="00A749AB" w:rsidRPr="00BD116D" w:rsidRDefault="00A749AB" w:rsidP="00A749AB">
      <w:r w:rsidRPr="00BD116D">
        <w:fldChar w:fldCharType="end"/>
      </w:r>
    </w:p>
    <w:sectPr w:rsidR="00A749AB" w:rsidRPr="00BD116D">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03CFC0" w14:textId="77777777" w:rsidR="00B12A8F" w:rsidRDefault="00B12A8F" w:rsidP="00BC0C6A">
      <w:pPr>
        <w:spacing w:after="0" w:line="240" w:lineRule="auto"/>
      </w:pPr>
      <w:r>
        <w:separator/>
      </w:r>
    </w:p>
  </w:endnote>
  <w:endnote w:type="continuationSeparator" w:id="0">
    <w:p w14:paraId="6331791B" w14:textId="77777777" w:rsidR="00B12A8F" w:rsidRDefault="00B12A8F" w:rsidP="00BC0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8661115"/>
      <w:docPartObj>
        <w:docPartGallery w:val="Page Numbers (Bottom of Page)"/>
        <w:docPartUnique/>
      </w:docPartObj>
    </w:sdtPr>
    <w:sdtEndPr>
      <w:rPr>
        <w:noProof/>
      </w:rPr>
    </w:sdtEndPr>
    <w:sdtContent>
      <w:p w14:paraId="7F0AE8A5" w14:textId="77A826D6" w:rsidR="00E86861" w:rsidRDefault="00E868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523122" w14:textId="77777777" w:rsidR="00E86861" w:rsidRDefault="00E868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8194C7" w14:textId="77777777" w:rsidR="00B12A8F" w:rsidRDefault="00B12A8F" w:rsidP="00BC0C6A">
      <w:pPr>
        <w:spacing w:after="0" w:line="240" w:lineRule="auto"/>
      </w:pPr>
      <w:r>
        <w:separator/>
      </w:r>
    </w:p>
  </w:footnote>
  <w:footnote w:type="continuationSeparator" w:id="0">
    <w:p w14:paraId="2E12A365" w14:textId="77777777" w:rsidR="00B12A8F" w:rsidRDefault="00B12A8F" w:rsidP="00BC0C6A">
      <w:pPr>
        <w:spacing w:after="0" w:line="240" w:lineRule="auto"/>
      </w:pPr>
      <w:r>
        <w:continuationSeparator/>
      </w:r>
    </w:p>
  </w:footnote>
  <w:footnote w:id="1">
    <w:p w14:paraId="6BC1A5A3" w14:textId="5FF3D91D" w:rsidR="00336EAE" w:rsidRDefault="00336EAE">
      <w:pPr>
        <w:pStyle w:val="FootnoteText"/>
      </w:pPr>
      <w:r>
        <w:rPr>
          <w:rStyle w:val="FootnoteReference"/>
        </w:rPr>
        <w:footnoteRef/>
      </w:r>
      <w:r>
        <w:t xml:space="preserve"> </w:t>
      </w:r>
      <w:r>
        <w:fldChar w:fldCharType="begin"/>
      </w:r>
      <w:r w:rsidR="00A749AB">
        <w:instrText xml:space="preserve"> ADDIN ZOTERO_ITEM CSL_CITATION {"citationID":"qECBJiWt","properties":{"formattedCitation":"Keating, \\uc0\\u8216{}It\\uc0\\u8217{}s Not Your Imagination. There Has Been More War Lately.\\uc0\\u8217{}","plainCitation":"Keating, ‘It’s Not Your Imagination. There Has Been More War Lately.’","noteIndex":1},"citationItems":[{"id":45803,"uris":["http://zotero.org/users/758892/items/SNHHGWSB"],"itemData":{"id":45803,"type":"article-magazine","abstract":"Why the \"long peace\" may be ending.","container-title":"Vox","language":"en","title":"It’s not your imagination. There has been more war lately.","URL":"https://www.vox.com/world-politics/2024/1/25/24049551/war-increasing-ukraine-gaza-sudan-ethiopia","author":[{"family":"Keating","given":"Joshua"}],"issued":{"date-parts":[["2024",1,25]]}}}],"schema":"https://github.com/citation-style-language/schema/raw/master/csl-citation.json"} </w:instrText>
      </w:r>
      <w:r>
        <w:fldChar w:fldCharType="separate"/>
      </w:r>
      <w:r w:rsidR="00A749AB" w:rsidRPr="00A749AB">
        <w:rPr>
          <w:rFonts w:ascii="Aptos" w:hAnsi="Aptos" w:cs="Times New Roman"/>
          <w:kern w:val="0"/>
        </w:rPr>
        <w:t>Keating, ‘It’s Not Your Imagination. There Has Been More War Lately.’</w:t>
      </w:r>
      <w:r>
        <w:fldChar w:fldCharType="end"/>
      </w:r>
    </w:p>
  </w:footnote>
  <w:footnote w:id="2">
    <w:p w14:paraId="7CCD4853" w14:textId="66AD8DD5" w:rsidR="00CD23F5" w:rsidRDefault="00CD23F5">
      <w:pPr>
        <w:pStyle w:val="FootnoteText"/>
      </w:pPr>
      <w:r>
        <w:rPr>
          <w:rStyle w:val="FootnoteReference"/>
        </w:rPr>
        <w:footnoteRef/>
      </w:r>
      <w:r>
        <w:t xml:space="preserve"> </w:t>
      </w:r>
      <w:r>
        <w:fldChar w:fldCharType="begin"/>
      </w:r>
      <w:r w:rsidR="00A749AB">
        <w:instrText xml:space="preserve"> ADDIN ZOTERO_ITEM CSL_CITATION {"citationID":"gQPGhnOB","properties":{"formattedCitation":"Pinker, {\\i{}The Better Angels of Our Nature}; Goldstein, {\\i{}Winning the War on War}; Human Security Report Project, {\\i{}Human Security Report 2013: The Decline in Global Violence}; for a more sceptical view on the \\uc0\\u8216{}decline of war\\uc0\\u8217{} thesis, see Braumoeller, {\\i{}Only the Dead}; Braumoeller, \\uc0\\u8216{}World War II Was 75 Years Ago. But Big Wars Can Still Happen.\\uc0\\u8217{}","plainCitation":"Pinker, The Better Angels of Our Nature; Goldstein, Winning the War on War; Human Security Report Project, Human Security Report 2013: The Decline in Global Violence; for a more sceptical view on the ‘decline of war’ thesis, see Braumoeller, Only the Dead; Braumoeller, ‘World War II Was 75 Years Ago. But Big Wars Can Still Happen.’","noteIndex":2},"citationItems":[{"id":2985,"uris":["http://zotero.org/users/758892/items/T77D69GV"],"itemData":{"id":2985,"type":"book","call-number":"303.6 PIN","event-place":"New York","ISBN":"978-0-670-02295-3","number-of-pages":"802","publisher":"Viking","publisher-place":"New York","source":"goya.ceu.hu Library Catalog","title":"The better angels of our nature: why violence has declined","title-short":"The better angels of our nature","author":[{"family":"Pinker","given":"Steven"}],"issued":{"date-parts":[["2011"]]}}},{"id":1845,"uris":["http://zotero.org/users/758892/items/27IX7MIX"],"itemData":{"id":1845,"type":"book","call-number":"D862.5 .G65 2011","event-place":"New York","ISBN":"978-0-525-95253-4","publisher":"Penguin Group","publisher-place":"New York","source":"Library of Congress Catalog","title":"Winning the War on War: The Decline of Armed Conflict Worldwide","title-short":"Winning the War on War","author":[{"family":"Goldstein","given":"Joshua S"}],"issued":{"date-parts":[["2011"]]}}},{"id":8613,"uris":["http://zotero.org/users/758892/items/JXJCJ3HZ"],"itemData":{"id":8613,"type":"book","event-place":"Vancouver","publisher":"Human Security Press","publisher-place":"Vancouver","title":"Human Security Report 2013: The Decline in Global Violence: Evidence, Explanation, and Contestation","title-short":"Human Security Report 2013: The Decline in Global Violence","author":[{"literal":"Human Security Report Project"}],"issued":{"date-parts":[["2013"]]}}},{"id":12078,"uris":["http://zotero.org/users/758892/items/SGHE4TFH"],"itemData":{"id":12078,"type":"book","abstract":"The idea that war is going out of style has become the conventional wisdom in recent years. But in Only the Dead, award-winning author Bear Braumoeller demonstrates that it shouldn't have. With a rare combination of historical expertise, statistical acumen, and accessible prose, Braumoeller shows that the evidence simply doesn't support the decline-of-war thesis propounded by scholars like Steven Pinker. He argues that the key to understanding trends in warfare lies, not in the spread of humanitarian values, but rather in the formation of international orders-sets of expectations about behavior that allow countries to work in concert, as they did in the Concert of Europe and have done in the postwar Western liberal order. With a nod toward the American sociologist Charles Tilly, who argued that \"war made the state and the state made war,\" Braumoeller argues that the same is true of international orders: while they reduce conflict within their borders, they can also clash violently with one another, as the Western and communist orders did throughout the Cold War. Both highly readable and rigorous, Only the Dead offers a realistic assessment of humanity's quest to abolish warfare. While pessimists have been too quick to discount the successes of our attempts to reduce international conflict, optimists are prone to put too much faith in human nature. Reality lies somewhere in between: While the aspirations of humankind to govern its behavior with reason and justice have had shocking success in moderating the harsh dictates of realpolitik, the institutions that we have created to prevent war are unlikely to achieve anything like total success-as evidenced by the multitude of conflicts in recent decades. As the old adage advises us, only the dead have seen the end of war.","call-number":"JZ6385","ISBN":"978-0-19-084953-5","language":"eng","publisher":"Oxford University Press","source":"solo.bodleian.ox.ac.uk","title":"Only the dead: the persistence of war in the modern age","title-short":"Only the dead","author":[{"family":"Braumoeller","given":"Bear F."}],"issued":{"date-parts":[["2019"]]}},"label":"page","prefix":"for a more sceptical view on the 'decline of war' thesis, see "},{"id":12577,"uris":["http://zotero.org/users/758892/items/PPJNS35H"],"itemData":{"id":12577,"type":"article-newspaper","abstract":"The idea that war is a thing of the past creates complacency.","container-title":"Washington Post","ISSN":"0190-8286","language":"en-US","source":"www.washingtonpost.com","title":"World War II was 75 years ago. But big wars can still happen.","URL":"https://www.washingtonpost.com/politics/2020/09/02/world-war-ii-was-75-years-ago-big-wars-can-still-happen/","author":[{"family":"Braumoeller","given":"Bear F."}],"accessed":{"date-parts":[["2020",9,2]]},"issued":{"date-parts":[["2020",9,2]]}}}],"schema":"https://github.com/citation-style-language/schema/raw/master/csl-citation.json"} </w:instrText>
      </w:r>
      <w:r>
        <w:fldChar w:fldCharType="separate"/>
      </w:r>
      <w:r w:rsidR="00A749AB" w:rsidRPr="00A749AB">
        <w:rPr>
          <w:rFonts w:ascii="Aptos" w:hAnsi="Aptos" w:cs="Times New Roman"/>
          <w:kern w:val="0"/>
        </w:rPr>
        <w:t xml:space="preserve">Pinker, </w:t>
      </w:r>
      <w:r w:rsidR="00A749AB" w:rsidRPr="00A749AB">
        <w:rPr>
          <w:rFonts w:ascii="Aptos" w:hAnsi="Aptos" w:cs="Times New Roman"/>
          <w:i/>
          <w:iCs/>
          <w:kern w:val="0"/>
        </w:rPr>
        <w:t>The Better Angels of Our Nature</w:t>
      </w:r>
      <w:r w:rsidR="00A749AB" w:rsidRPr="00A749AB">
        <w:rPr>
          <w:rFonts w:ascii="Aptos" w:hAnsi="Aptos" w:cs="Times New Roman"/>
          <w:kern w:val="0"/>
        </w:rPr>
        <w:t xml:space="preserve">; Goldstein, </w:t>
      </w:r>
      <w:r w:rsidR="00A749AB" w:rsidRPr="00A749AB">
        <w:rPr>
          <w:rFonts w:ascii="Aptos" w:hAnsi="Aptos" w:cs="Times New Roman"/>
          <w:i/>
          <w:iCs/>
          <w:kern w:val="0"/>
        </w:rPr>
        <w:t>Winning the War on War</w:t>
      </w:r>
      <w:r w:rsidR="00A749AB" w:rsidRPr="00A749AB">
        <w:rPr>
          <w:rFonts w:ascii="Aptos" w:hAnsi="Aptos" w:cs="Times New Roman"/>
          <w:kern w:val="0"/>
        </w:rPr>
        <w:t xml:space="preserve">; Human Security Report Project, </w:t>
      </w:r>
      <w:r w:rsidR="00A749AB" w:rsidRPr="00A749AB">
        <w:rPr>
          <w:rFonts w:ascii="Aptos" w:hAnsi="Aptos" w:cs="Times New Roman"/>
          <w:i/>
          <w:iCs/>
          <w:kern w:val="0"/>
        </w:rPr>
        <w:t>Human Security Report 2013: The Decline in Global Violence</w:t>
      </w:r>
      <w:r w:rsidR="00A749AB" w:rsidRPr="00A749AB">
        <w:rPr>
          <w:rFonts w:ascii="Aptos" w:hAnsi="Aptos" w:cs="Times New Roman"/>
          <w:kern w:val="0"/>
        </w:rPr>
        <w:t xml:space="preserve">; for a more sceptical view on the ‘decline of war’ thesis, see Braumoeller, </w:t>
      </w:r>
      <w:r w:rsidR="00A749AB" w:rsidRPr="00A749AB">
        <w:rPr>
          <w:rFonts w:ascii="Aptos" w:hAnsi="Aptos" w:cs="Times New Roman"/>
          <w:i/>
          <w:iCs/>
          <w:kern w:val="0"/>
        </w:rPr>
        <w:t>Only the Dead</w:t>
      </w:r>
      <w:r w:rsidR="00A749AB" w:rsidRPr="00A749AB">
        <w:rPr>
          <w:rFonts w:ascii="Aptos" w:hAnsi="Aptos" w:cs="Times New Roman"/>
          <w:kern w:val="0"/>
        </w:rPr>
        <w:t>; Braumoeller, ‘World War II Was 75 Years Ago. But Big Wars Can Still Happen.’</w:t>
      </w:r>
      <w:r>
        <w:fldChar w:fldCharType="end"/>
      </w:r>
    </w:p>
  </w:footnote>
  <w:footnote w:id="3">
    <w:p w14:paraId="2F61497A" w14:textId="56C0E020" w:rsidR="00A749AB" w:rsidRDefault="00A749AB">
      <w:pPr>
        <w:pStyle w:val="FootnoteText"/>
      </w:pPr>
      <w:r>
        <w:rPr>
          <w:rStyle w:val="FootnoteReference"/>
        </w:rPr>
        <w:footnoteRef/>
      </w:r>
      <w:r>
        <w:t xml:space="preserve"> </w:t>
      </w:r>
      <w:r>
        <w:fldChar w:fldCharType="begin"/>
      </w:r>
      <w:r>
        <w:instrText xml:space="preserve"> ADDIN ZOTERO_ITEM CSL_CITATION {"citationID":"SUdxMOIW","properties":{"formattedCitation":"See also Goertz, Diehl, and Balas, {\\i{}The Puzzle of Peace}; Diehl, Goertz, and Gallegos, \\uc0\\u8216{}Peace Data\\uc0\\u8217{}.","plainCitation":"See also Goertz, Diehl, and Balas, The Puzzle of Peace; Diehl, Goertz, and Gallegos, ‘Peace Data’.","noteIndex":3},"citationItems":[{"id":11175,"uris":["http://zotero.org/users/758892/items/NQIDAN4R"],"itemData":{"id":11175,"type":"book","call-number":"JZ5560.GOE 2016, JZ 5560.G","ISBN":"978-0-19-930102-7","language":"eng","publisher":"Oxford University Press","source":"solo.bodleian.ox.ac.uk","title":"The puzzle of peace: the evolution of peace in the international system","title-short":"The puzzle of peace","author":[{"family":"Goertz","given":"Gary"},{"family":"Diehl","given":"Paul F"},{"family":"Balas","given":"Alexandru"}],"issued":{"date-parts":[["2016"]]}},"label":"page","prefix":"See also "},{"id":42596,"uris":["http://zotero.org/users/758892/items/WW5N5HTL"],"itemData":{"id":42596,"type":"article-journal","abstract":"This data article reviews the revised “peace data,” describing the motivations behind them and offering a general description of the different peace scale levels—severe rivalry, lesser rivalry, negative peace, warm peace, and security community respectively. A brief overview of the evolution of peace and rivalry for the 1900–2015 period is presented. Peace in the international system has increased over time, with a decline in rivalries and an increase in security communities being the most notable findings. The article concludes with a discussion of how the peace data might be used to address new questions in international relations research or reconfigure existing ones.","container-title":"Conflict Management and Peace Science","DOI":"10.1177/0738894219870288","ISSN":"0738-8942","issue":"5","language":"en","note":"publisher: SAGE Publications Ltd","page":"605-624","source":"SAGE Journals","title":"Peace data: Concept, measurement, patterns, and research agenda","title-short":"Peace data","volume":"38","author":[{"family":"Diehl","given":"Paul F"},{"family":"Goertz","given":"Gary"},{"family":"Gallegos","given":"Yahve"}],"issued":{"date-parts":[["2021",9,1]]}}}],"schema":"https://github.com/citation-style-language/schema/raw/master/csl-citation.json"} </w:instrText>
      </w:r>
      <w:r>
        <w:fldChar w:fldCharType="separate"/>
      </w:r>
      <w:r w:rsidRPr="00A749AB">
        <w:rPr>
          <w:rFonts w:ascii="Aptos" w:hAnsi="Aptos" w:cs="Times New Roman"/>
          <w:kern w:val="0"/>
        </w:rPr>
        <w:t xml:space="preserve">See also Goertz, Diehl, and Balas, </w:t>
      </w:r>
      <w:r w:rsidRPr="00A749AB">
        <w:rPr>
          <w:rFonts w:ascii="Aptos" w:hAnsi="Aptos" w:cs="Times New Roman"/>
          <w:i/>
          <w:iCs/>
          <w:kern w:val="0"/>
        </w:rPr>
        <w:t>The Puzzle of Peace</w:t>
      </w:r>
      <w:r w:rsidRPr="00A749AB">
        <w:rPr>
          <w:rFonts w:ascii="Aptos" w:hAnsi="Aptos" w:cs="Times New Roman"/>
          <w:kern w:val="0"/>
        </w:rPr>
        <w:t>; Diehl, Goertz, and Gallegos, ‘Peace Data’.</w:t>
      </w:r>
      <w:r>
        <w:fldChar w:fldCharType="end"/>
      </w:r>
    </w:p>
  </w:footnote>
  <w:footnote w:id="4">
    <w:p w14:paraId="0C3FDAF5" w14:textId="3BF0CA23" w:rsidR="00F013F3" w:rsidRDefault="00F013F3">
      <w:pPr>
        <w:pStyle w:val="FootnoteText"/>
      </w:pPr>
      <w:r>
        <w:rPr>
          <w:rStyle w:val="FootnoteReference"/>
        </w:rPr>
        <w:footnoteRef/>
      </w:r>
      <w:r>
        <w:t xml:space="preserve"> </w:t>
      </w:r>
      <w:hyperlink r:id="rId1" w:history="1">
        <w:r w:rsidRPr="00CB0399">
          <w:rPr>
            <w:rStyle w:val="Hyperlink"/>
            <w:lang w:val="en-US"/>
          </w:rPr>
          <w:t>https://www.theguardian.com/environment/2024/oct/08/earths-vital-signs-show-humanitys-future-in-balance-say-climate-experts</w:t>
        </w:r>
      </w:hyperlink>
      <w:r>
        <w:rPr>
          <w:lang w:val="en-US"/>
        </w:rPr>
        <w:t xml:space="preserve">; </w:t>
      </w:r>
      <w:hyperlink r:id="rId2" w:history="1">
        <w:r w:rsidRPr="00CB0399">
          <w:rPr>
            <w:rStyle w:val="Hyperlink"/>
            <w:lang w:val="en-US"/>
          </w:rPr>
          <w:t>https://www.ohchr.org/en/press-releases/2024/02/no-time-lose-uk-declares-violence-against-women-national-threat-un-expert</w:t>
        </w:r>
      </w:hyperlink>
      <w:r>
        <w:rPr>
          <w:lang w:val="en-US"/>
        </w:rPr>
        <w:t xml:space="preserve"> </w:t>
      </w:r>
    </w:p>
  </w:footnote>
  <w:footnote w:id="5">
    <w:p w14:paraId="748FB16B" w14:textId="22F76A5C" w:rsidR="00BC0C6A" w:rsidRDefault="00BC0C6A" w:rsidP="00BC0C6A">
      <w:pPr>
        <w:pStyle w:val="FootnoteText"/>
      </w:pPr>
      <w:r w:rsidRPr="000B2AEF">
        <w:rPr>
          <w:rStyle w:val="FootnoteReference"/>
        </w:rPr>
        <w:footnoteRef/>
      </w:r>
      <w:r>
        <w:t xml:space="preserve"> </w:t>
      </w:r>
      <w:r>
        <w:fldChar w:fldCharType="begin"/>
      </w:r>
      <w:r w:rsidR="00A749AB">
        <w:instrText xml:space="preserve"> ADDIN ZOTERO_ITEM CSL_CITATION {"citationID":"byKLjpR6","properties":{"formattedCitation":"White, {\\i{}The Idea of National Security}, 8.","plainCitation":"White, The Idea of National Security, 8.","noteIndex":4},"citationItems":[{"id":48422,"uris":["http://zotero.org/users/758892/items/W6I8BRYM"],"itemData":{"id":48422,"type":"book","publisher":"National Security College, The Australian National University","source":"Google Scholar","title":"The idea of national security: what use is it to policymakers?","title-short":"The idea of national security","URL":"https://core.ac.uk/download/pdf/30679259.pdf","author":[{"family":"White","given":"Hugh"}],"accessed":{"date-parts":[["2024",11,7]]},"issued":{"date-parts":[["2012"]]}},"locator":"8","label":"page"}],"schema":"https://github.com/citation-style-language/schema/raw/master/csl-citation.json"} </w:instrText>
      </w:r>
      <w:r>
        <w:fldChar w:fldCharType="separate"/>
      </w:r>
      <w:r w:rsidR="00A749AB" w:rsidRPr="00A749AB">
        <w:rPr>
          <w:rFonts w:ascii="Aptos" w:hAnsi="Aptos" w:cs="Times New Roman"/>
          <w:kern w:val="0"/>
        </w:rPr>
        <w:t xml:space="preserve">White, </w:t>
      </w:r>
      <w:r w:rsidR="00A749AB" w:rsidRPr="00A749AB">
        <w:rPr>
          <w:rFonts w:ascii="Aptos" w:hAnsi="Aptos" w:cs="Times New Roman"/>
          <w:i/>
          <w:iCs/>
          <w:kern w:val="0"/>
        </w:rPr>
        <w:t>The Idea of National Security</w:t>
      </w:r>
      <w:r w:rsidR="00A749AB" w:rsidRPr="00A749AB">
        <w:rPr>
          <w:rFonts w:ascii="Aptos" w:hAnsi="Aptos" w:cs="Times New Roman"/>
          <w:kern w:val="0"/>
        </w:rPr>
        <w:t>, 8.</w:t>
      </w:r>
      <w:r>
        <w:fldChar w:fldCharType="end"/>
      </w:r>
    </w:p>
  </w:footnote>
  <w:footnote w:id="6">
    <w:p w14:paraId="2148167F" w14:textId="0EFF2556" w:rsidR="000755EA" w:rsidRDefault="000755EA">
      <w:pPr>
        <w:pStyle w:val="FootnoteText"/>
      </w:pPr>
      <w:r>
        <w:rPr>
          <w:rStyle w:val="FootnoteReference"/>
        </w:rPr>
        <w:footnoteRef/>
      </w:r>
      <w:r>
        <w:t xml:space="preserve"> </w:t>
      </w:r>
      <w:r>
        <w:fldChar w:fldCharType="begin"/>
      </w:r>
      <w:r>
        <w:instrText xml:space="preserve"> ADDIN ZOTERO_ITEM CSL_CITATION {"citationID":"BrOtzRMX","properties":{"formattedCitation":"Snyder, \\uc0\\u8216{}War No More\\uc0\\u8217{}.","plainCitation":"Snyder, ‘War No More’.","noteIndex":6},"citationItems":[{"id":5815,"uris":["http://zotero.org/users/758892/items/TZ9VBU2P"],"itemData":{"id":5815,"type":"article-magazine","abstract":"In his new book, the acclaimed psychologist Steven Pinker argues that despite the horrors of the twentieth century, global violence is actually on the decline over the long term. The empirical trend Pinker describes is real, but his explanation for it overlooks the crucial relationship between individuals and states.","container-title":"Foreign Affairs","ISSN":"0015-7120","issue":"January/February 2012","source":"Foreign Affairs","title":"War No More","URL":"http://www.foreignaffairs.com/articles/136957/timothy-snyder/war-no-more?page=show","author":[{"family":"Snyder","given":"Timothy"}],"accessed":{"date-parts":[["2012",1,29]]},"issued":{"date-parts":[["2012",1,1]]}}}],"schema":"https://github.com/citation-style-language/schema/raw/master/csl-citation.json"} </w:instrText>
      </w:r>
      <w:r>
        <w:fldChar w:fldCharType="separate"/>
      </w:r>
      <w:r w:rsidRPr="000755EA">
        <w:rPr>
          <w:rFonts w:ascii="Aptos" w:hAnsi="Aptos" w:cs="Times New Roman"/>
          <w:kern w:val="0"/>
        </w:rPr>
        <w:t>Snyder, ‘War No More’.</w:t>
      </w:r>
      <w:r>
        <w:fldChar w:fldCharType="end"/>
      </w:r>
    </w:p>
  </w:footnote>
  <w:footnote w:id="7">
    <w:p w14:paraId="47965D0B" w14:textId="3DA9D9BD" w:rsidR="00BC0C6A" w:rsidRPr="008A4725" w:rsidRDefault="00BC0C6A" w:rsidP="00BC0C6A">
      <w:pPr>
        <w:pStyle w:val="FootnoteText"/>
      </w:pPr>
      <w:r w:rsidRPr="000B2AEF">
        <w:rPr>
          <w:rStyle w:val="FootnoteReference"/>
        </w:rPr>
        <w:footnoteRef/>
      </w:r>
      <w:r w:rsidRPr="008A4725">
        <w:t xml:space="preserve"> </w:t>
      </w:r>
      <w:r w:rsidRPr="008A4725">
        <w:fldChar w:fldCharType="begin"/>
      </w:r>
      <w:r w:rsidR="00A749AB">
        <w:instrText xml:space="preserve"> ADDIN ZOTERO_ITEM CSL_CITATION {"citationID":"ybnhoepo","properties":{"formattedCitation":"Tilly, \\uc0\\u8216{}War Making and State Making as Organized Crime\\uc0\\u8217{}.","plainCitation":"Tilly, ‘War Making and State Making as Organized Crime’.","noteIndex":5},"citationItems":[{"id":6169,"uris":["http://zotero.org/users/758892/items/DAC6W2HS"],"itemData":{"id":6169,"type":"chapter","container-title":"Bringing the State Back In","publisher":"Cambridge University Press","title":"War Making and State Making as Organized Crime","author":[{"family":"Tilly","given":"Charles"}],"editor":[{"family":"Evans","given":"Peter B."},{"family":"Rueschemeyer","given":"Dietrich"},{"family":"Skocpol","given":"Theda"}],"issued":{"date-parts":[["1985"]]}}}],"schema":"https://github.com/citation-style-language/schema/raw/master/csl-citation.json"} </w:instrText>
      </w:r>
      <w:r w:rsidRPr="008A4725">
        <w:fldChar w:fldCharType="separate"/>
      </w:r>
      <w:r w:rsidR="00A749AB" w:rsidRPr="00A749AB">
        <w:rPr>
          <w:rFonts w:ascii="Aptos" w:hAnsi="Aptos" w:cs="Times New Roman"/>
          <w:kern w:val="0"/>
        </w:rPr>
        <w:t>Tilly, ‘War Making and State Making as Organized Crime’.</w:t>
      </w:r>
      <w:r w:rsidRPr="008A4725">
        <w:fldChar w:fldCharType="end"/>
      </w:r>
    </w:p>
  </w:footnote>
  <w:footnote w:id="8">
    <w:p w14:paraId="4C6A017A" w14:textId="0D2A5F8E" w:rsidR="00CF10FE" w:rsidRDefault="00CF10FE">
      <w:pPr>
        <w:pStyle w:val="FootnoteText"/>
      </w:pPr>
      <w:r>
        <w:rPr>
          <w:rStyle w:val="FootnoteReference"/>
        </w:rPr>
        <w:footnoteRef/>
      </w:r>
      <w:r>
        <w:t xml:space="preserve"> </w:t>
      </w:r>
      <w:r>
        <w:fldChar w:fldCharType="begin"/>
      </w:r>
      <w:r w:rsidR="006B5CF2">
        <w:instrText xml:space="preserve"> ADDIN ZOTERO_ITEM CSL_CITATION {"citationID":"zw4m8AWH","properties":{"formattedCitation":"Davenport, \\uc0\\u8216{}State Repression and Political Order\\uc0\\u8217{}; Karstedt, \\uc0\\u8216{}Organizing Crime\\uc0\\u8217{}.","plainCitation":"Davenport, ‘State Repression and Political Order’; Karstedt, ‘Organizing Crime’.","noteIndex":8},"citationItems":[{"id":11324,"uris":["http://zotero.org/users/758892/items/FGR2VBGN"],"itemData":{"id":11324,"type":"article-journal","abstract":"State repression includes harassment, surveillance/spying, bans, arrests, torture, and mass killing by government agents and/or affiliates within their territorial jurisdiction. Over the past 40 years, the systematic study of state repression has grown considerably. The development of this work, however, has been uneven. Though unified in their focus on the problem of order (i.e., trying to ascertain how political authorities wield coercive power amid potential and actual domestic challengers), different scholars tend to emphasize distinct aspects of the topic. Consequently, a great deal of progress has been made in specific areas but others have lagged behind. In this review, I attempt to identify the dominant traditions in the repression literature, the core empirical findings, and some persisting puzzles.","container-title":"Annual Review of Political Science","DOI":"10.1146/annurev.polisci.10.101405.143216","issue":"1","page":"1-23","source":"Annual Reviews","title":"State Repression and Political Order","volume":"10","author":[{"family":"Davenport","given":"Christian"}],"issued":{"date-parts":[["2007"]]}}},{"id":48025,"uris":["http://zotero.org/users/758892/items/2INY7IBK"],"itemData":{"id":48025,"type":"chapter","abstract":"While the image of the state as a victim of organized crime is ubiquitous, the state is rarely seen as an actor proper in its own organized crime activities. As states, its institutions and organizations are “organized actors” by definition they seem to be organized crime actors by default. However, state crime comes in many and often “hybrid organizational form,” as state-sponsored crime, or as “state-private interaction.” Given the power that the modern state is capable of exerting over its citizens (and abroad), state crimes are crimes of extraordinarily serious nature. The contribution explores the institutional context and social relationships that provide fertile grounds for state-organized crime with a particular focus on unlawful state violence, and mass atrocity crimes. This exploration will be framed by two paradoxes: the paradox of the state as guardian against its own criminal activity, and the paradox of state strength and weakness as precondition for state-organized crime.","container-title":"The Oxford Handbook of Organized Crime","ISBN":"978-0-19-973044-5","note":"DOI: 10.1093/oxfordhb/9780199730445.013.031","page":"0","publisher":"Oxford University Press","source":"Silverchair","title":"Organizing Crime: The State as Agent","title-short":"Organizing Crime","URL":"https://doi.org/10.1093/oxfordhb/9780199730445.013.031","author":[{"family":"Karstedt","given":"Susanne"}],"editor":[{"family":"Paoli","given":"Letizia"}],"accessed":{"date-parts":[["2024",10,15]]},"issued":{"date-parts":[["2014",10,24]]}}}],"schema":"https://github.com/citation-style-language/schema/raw/master/csl-citation.json"} </w:instrText>
      </w:r>
      <w:r>
        <w:fldChar w:fldCharType="separate"/>
      </w:r>
      <w:r w:rsidR="006B5CF2" w:rsidRPr="006B5CF2">
        <w:rPr>
          <w:rFonts w:ascii="Aptos" w:hAnsi="Aptos" w:cs="Times New Roman"/>
          <w:kern w:val="0"/>
        </w:rPr>
        <w:t>Davenport, ‘State Repression and Political Order’; Karstedt, ‘Organizing Crime’.</w:t>
      </w:r>
      <w:r>
        <w:fldChar w:fldCharType="end"/>
      </w:r>
    </w:p>
  </w:footnote>
  <w:footnote w:id="9">
    <w:p w14:paraId="17FB4B0B" w14:textId="77777777" w:rsidR="00427D51" w:rsidRDefault="00427D51" w:rsidP="00427D51">
      <w:pPr>
        <w:pStyle w:val="FootnoteText"/>
      </w:pPr>
      <w:r w:rsidRPr="000B2AEF">
        <w:rPr>
          <w:rStyle w:val="FootnoteReference"/>
        </w:rPr>
        <w:footnoteRef/>
      </w:r>
      <w:r>
        <w:t xml:space="preserve"> </w:t>
      </w:r>
      <w:r>
        <w:fldChar w:fldCharType="begin"/>
      </w:r>
      <w:r>
        <w:instrText xml:space="preserve"> ADDIN ZOTERO_ITEM CSL_CITATION {"citationID":"FxoGLImZ","properties":{"formattedCitation":"Galeotti, \\uc0\\u8216{}Russia\\uc0\\u8217{}s Use of Organized Crime as an Instrument of Statecraft\\uc0\\u8217{}; Galeotti, \\uc0\\u8216{}Gangster Geopolitics: The Kremlin\\uc0\\u8217{}s Use of Criminals as Assets Abroad\\uc0\\u8217{}.","plainCitation":"Galeotti, ‘Russia’s Use of Organized Crime as an Instrument of Statecraft’; Galeotti, ‘Gangster Geopolitics: The Kremlin’s Use of Criminals as Assets Abroad’.","noteIndex":7},"citationItems":[{"id":48428,"uris":["http://zotero.org/users/758892/items/XGA7CJ4N"],"itemData":{"id":48428,"type":"report","abstract":"Russia’s full-scale invasion of Ukraine in February 2022 has increased Moscow’s engagement with the underworld, for example to help circumvent sanctions by smuggling licit products that contain dual-use microchips and to help move money (including through cryptocurrencies). The expulsion of Russian diplomats from Western embassies has increased Moscow’s reliance on criminal groups to gather information and intelligence and to do the Kremlin’s dirty work abroad such as carrying out sabotage, disinformation and assassinations. In some cases, these jobs are also being subcontracted to local criminals.","language":"en","publisher":"Global Initiative Against Transnational Organized Crime","title":"Russia's Use of Organized Crime as an Instrument of Statecraft","URL":"https://globalinitiative.net/analysis/gangsters-at-war-russias-use-of-organized-crime-as-an-instrument-of-statecraft/","author":[{"family":"Galeotti","given":"Mark"}],"accessed":{"date-parts":[["2024",11,8]]},"issued":{"date-parts":[["2024",11]]}}},{"id":10404,"uris":["http://zotero.org/users/758892/items/FCBQTQGM"],"itemData":{"id":10404,"type":"webpage","container-title":"Russian Matters","title":"Gangster Geopolitics: The Kremlin’s Use of Criminals as Assets Abroad","URL":"https://www.russiamatters.org/analysis/gangster-geopolitics-kremlins-use-criminals-assets-abroad","author":[{"family":"Galeotti","given":"Mark"}],"accessed":{"date-parts":[["2019",8,17]]},"issued":{"date-parts":[["2019",1,17]]}}}],"schema":"https://github.com/citation-style-language/schema/raw/master/csl-citation.json"} </w:instrText>
      </w:r>
      <w:r>
        <w:fldChar w:fldCharType="separate"/>
      </w:r>
      <w:r w:rsidRPr="00A749AB">
        <w:rPr>
          <w:rFonts w:ascii="Aptos" w:hAnsi="Aptos" w:cs="Times New Roman"/>
          <w:kern w:val="0"/>
        </w:rPr>
        <w:t>Galeotti, ‘Russia’s Use of Organized Crime as an Instrument of Statecraft’; Galeotti, ‘Gangster Geopolitics: The Kremlin’s Use of Criminals as Assets Abroad’.</w:t>
      </w:r>
      <w:r>
        <w:fldChar w:fldCharType="end"/>
      </w:r>
    </w:p>
  </w:footnote>
  <w:footnote w:id="10">
    <w:p w14:paraId="1E7A9B8C" w14:textId="77777777" w:rsidR="00427D51" w:rsidRDefault="00427D51" w:rsidP="00427D51">
      <w:pPr>
        <w:pStyle w:val="FootnoteText"/>
      </w:pPr>
      <w:r w:rsidRPr="000B2AEF">
        <w:rPr>
          <w:rStyle w:val="FootnoteReference"/>
        </w:rPr>
        <w:footnoteRef/>
      </w:r>
      <w:r>
        <w:t xml:space="preserve"> </w:t>
      </w:r>
      <w:r>
        <w:fldChar w:fldCharType="begin"/>
      </w:r>
      <w:r>
        <w:instrText xml:space="preserve"> ADDIN ZOTERO_ITEM CSL_CITATION {"citationID":"t5usGY1I","properties":{"formattedCitation":"Mailey, \\uc0\\u8216{}Iran\\uc0\\u8217{}s Criminal Statecraft\\uc0\\u8217{}.","plainCitation":"Mailey, ‘Iran’s Criminal Statecraft’.","noteIndex":9},"citationItems":[{"id":48433,"uris":["http://zotero.org/users/758892/items/WZSS9KPK"],"itemData":{"id":48433,"type":"report","abstract":"This report uncovers how Iran’s proxies, such as Hezbollah and militias in Iraq, Syria, Yemen, Lebanon and Palestine are critical to Tehran’s influence. Iran supplies these groups with weapons, training, and funds, while criminal networks help smuggle oil, launder money, and move illicit goods across borders. This strategy has enabled Iran to weaken its adversaries without engaging in direct military confrontation.","language":"en","publisher":"Global Initiative Against Transnational Organized Crime","title":"Iran's criminal statecraft: How Tehran weaponizes illicit markets","title-short":"Iran's criminal statecraft","URL":"https://globalinitiative.net/analysis/irans-criminal-statecraft-how-teheran-weaponizes-illicit-markets/","author":[{"family":"Mailey","given":"J. R."}],"accessed":{"date-parts":[["2024",11,8]]},"issued":{"date-parts":[["2024",10]]}}}],"schema":"https://github.com/citation-style-language/schema/raw/master/csl-citation.json"} </w:instrText>
      </w:r>
      <w:r>
        <w:fldChar w:fldCharType="separate"/>
      </w:r>
      <w:r w:rsidRPr="00A749AB">
        <w:rPr>
          <w:rFonts w:ascii="Aptos" w:hAnsi="Aptos" w:cs="Times New Roman"/>
          <w:kern w:val="0"/>
        </w:rPr>
        <w:t>Mailey, ‘Iran’s Criminal Statecraft’.</w:t>
      </w:r>
      <w:r>
        <w:fldChar w:fldCharType="end"/>
      </w:r>
    </w:p>
  </w:footnote>
  <w:footnote w:id="11">
    <w:p w14:paraId="33C48BE3" w14:textId="77777777" w:rsidR="00EB1E8A" w:rsidRDefault="00EB1E8A" w:rsidP="00EB1E8A">
      <w:pPr>
        <w:pStyle w:val="FootnoteText"/>
      </w:pPr>
      <w:r w:rsidRPr="000B2AEF">
        <w:rPr>
          <w:rStyle w:val="FootnoteReference"/>
        </w:rPr>
        <w:footnoteRef/>
      </w:r>
      <w:r>
        <w:t xml:space="preserve"> </w:t>
      </w:r>
      <w:r>
        <w:fldChar w:fldCharType="begin"/>
      </w:r>
      <w:r>
        <w:instrText xml:space="preserve"> ADDIN ZOTERO_ITEM CSL_CITATION {"citationID":"ZSAod7Zq","properties":{"formattedCitation":"Orlova, \\uc0\\u8216{}Russia: A Mafia State, Politics and Shifting Power Dynamics\\uc0\\u8217{}.","plainCitation":"Orlova, ‘Russia: A Mafia State, Politics and Shifting Power Dynamics’.","noteIndex":8},"citationItems":[{"id":48448,"uris":["http://zotero.org/users/758892/items/M9ZAU2J2"],"itemData":{"id":48448,"type":"chapter","abstract":"This multidisciplinary Handbook examines the complex and often hidden relationship between organised crime and politics across the globe, highlighting the difficulties involved in researching such relationships and offering new insights into how they evolve to become pervasive and destructive. Organised into five distinct sections, key chapters focus on issues and case studies from across Europe, the Americas, Africa, Eurasia and international organisations in order to provide a new and systematic picture and analysis of what the relationship between criminal organisations and politics looks like in different national contexts. In so doing, it offers an insight into the ever-evolving nature of this relationship, and the exchanges within it, in order to identify common features and key differences. These in turn raise provoking questions regarding the possibility of improving democracy, political systems, civil society and economic systems in order to counter the possible infiltration of these organisations, their associates and representatives. Students and scholars of public policy, politics, criminology and those focussing on organised crime more specifically will find this Handbook an original and engaging guide to the current state of play, whilst policy makers, practitioners and NGOs will find the case studies set in national context eminently valuable. Contributors include: S. Adorno, F. Allum, J. Arsovska, M. Beare, M. Bedetti, G. Borrelli, S. Brady, D. Bright, J.-L. Briquet, A. Chung, N. Dalponte, A. De Vos, C.N. Dias, S. Dinnen, G. Favarel-Garrigues, J. Gilbert, S. Gilmour, C. Gunnarson, E. Gutterman, C. Hemmings, A. Idler, D. Islas, J. Janssens, S. Jeperson, M. Joutsen, A. Kupatadze, R. Le Cour Grandmaison, S. Lemière, A. Markovska, V. Mete, S. Musau, A. Orlova, I. Roberge, A. Rostami, D. Silverstone, M. Shaw, D. Smith Jr., F. Strazzari, M. Tzvetkova, C. van Ham, G. Walton, J. Wheatley, J. Whittle, Y. Zabyelina, G. Zanoletti","container-title":"Handbook of Organised Crime and Politics","ISBN":"978-1-78643-457-9","publisher":"Edward Elgar Publishing Limited","source":"ProQuest Ebook Central","title":"Russia: a mafia state, politics and shifting power dynamics","editor":[{"family":"Allum","given":"Felia"},{"family":"Gilmour","given":"Stan"}],"author":[{"family":"Orlova","given":"Alexandra V."}],"accessed":{"date-parts":[["2024",10,15]]},"issued":{"date-parts":[["2019"]]}}}],"schema":"https://github.com/citation-style-language/schema/raw/master/csl-citation.json"} </w:instrText>
      </w:r>
      <w:r>
        <w:fldChar w:fldCharType="separate"/>
      </w:r>
      <w:r w:rsidRPr="00A749AB">
        <w:rPr>
          <w:rFonts w:ascii="Aptos" w:hAnsi="Aptos" w:cs="Times New Roman"/>
          <w:kern w:val="0"/>
        </w:rPr>
        <w:t>Orlova, ‘Russia: A Mafia State, Politics and Shifting Power Dynamics’.</w:t>
      </w:r>
      <w:r>
        <w:fldChar w:fldCharType="end"/>
      </w:r>
    </w:p>
  </w:footnote>
  <w:footnote w:id="12">
    <w:p w14:paraId="5204F6C5" w14:textId="77777777" w:rsidR="00D6437D" w:rsidRDefault="00D6437D" w:rsidP="00D6437D">
      <w:pPr>
        <w:pStyle w:val="FootnoteText"/>
      </w:pPr>
      <w:r w:rsidRPr="000B2AEF">
        <w:rPr>
          <w:rStyle w:val="FootnoteReference"/>
        </w:rPr>
        <w:footnoteRef/>
      </w:r>
      <w:r>
        <w:t xml:space="preserve"> </w:t>
      </w:r>
      <w:r>
        <w:fldChar w:fldCharType="begin"/>
      </w:r>
      <w:r>
        <w:instrText xml:space="preserve"> ADDIN ZOTERO_ITEM CSL_CITATION {"citationID":"H03rfWSZ","properties":{"formattedCitation":"Barnes, \\uc0\\u8216{}Criminal Politics\\uc0\\u8217{}.","plainCitation":"Barnes, ‘Criminal Politics’.","noteIndex":11},"citationItems":[{"id":7842,"uris":["http://zotero.org/users/758892/items/4TF8W8NI"],"itemData":{"id":7842,"type":"article-journal","abstract":"Over the last decade, organized criminal violence has reached unprecedented levels and has caused as much violent death globally as direct armed conflict. Nonetheless, the study of organized crime in political science remains limited because these organizations and their violence are not viewed as political. Building on recent innovations in the study of armed conflict, I argue that organized criminal violence should no longer be segregated from related forms of organized violence and incorporated within the political violence literature. While criminal organizations do not seek to replace or break away from the state, they have increasingly engaged in the politics of the state through the accumulation of the means of violence itself. Like other non-state armed groups, they have developed variously collaborative and competitive relationships with the state that have produced heightened levels of violence in many contexts and allowed these organizations to gather significant political authority. I propose a simple conceptual typology for incorporating the study of these organizations into the political violence literature and suggest several areas of future inquiry that will illuminate the relationship between violence and politics more generally.","container-title":"Perspectives on Politics","DOI":"10.1017/S1537592717002110","ISSN":"1537-5927, 1541-0986","issue":"4","language":"en","page":"967-987","source":"Cambridge Core","title":"Criminal Politics: An Integrated Approach to the Study of Organized Crime, Politics, and Violence","title-short":"Criminal Politics","volume":"15","author":[{"family":"Barnes","given":"Nicholas"}],"issued":{"date-parts":[["2017",12]]}}}],"schema":"https://github.com/citation-style-language/schema/raw/master/csl-citation.json"} </w:instrText>
      </w:r>
      <w:r>
        <w:fldChar w:fldCharType="separate"/>
      </w:r>
      <w:r w:rsidRPr="00A749AB">
        <w:rPr>
          <w:rFonts w:ascii="Aptos" w:hAnsi="Aptos" w:cs="Times New Roman"/>
          <w:kern w:val="0"/>
        </w:rPr>
        <w:t>Barnes, ‘Criminal Politics’.</w:t>
      </w:r>
      <w:r>
        <w:fldChar w:fldCharType="end"/>
      </w:r>
    </w:p>
  </w:footnote>
  <w:footnote w:id="13">
    <w:p w14:paraId="138579AF" w14:textId="77777777" w:rsidR="00D84CCF" w:rsidRDefault="00D84CCF" w:rsidP="00D84CCF">
      <w:pPr>
        <w:pStyle w:val="FootnoteText"/>
      </w:pPr>
      <w:r w:rsidRPr="000B2AEF">
        <w:rPr>
          <w:rStyle w:val="FootnoteReference"/>
        </w:rPr>
        <w:footnoteRef/>
      </w:r>
      <w:r>
        <w:t xml:space="preserve"> </w:t>
      </w:r>
      <w:r>
        <w:fldChar w:fldCharType="begin"/>
      </w:r>
      <w:r>
        <w:instrText xml:space="preserve"> ADDIN ZOTERO_ITEM CSL_CITATION {"citationID":"ZUfjGIPX","properties":{"formattedCitation":"Lessing, \\uc0\\u8216{}Conceptualizing Criminal Governance\\uc0\\u8217{}.","plainCitation":"Lessing, ‘Conceptualizing Criminal Governance’.","noteIndex":10},"citationItems":[{"id":13021,"uris":["http://zotero.org/users/758892/items/KSDZBHX4"],"itemData":{"id":13021,"type":"article-journal","abstract":"In informal urban areas throughout the developing world, and even in some US and UK neighborhoods, tens if not hundreds of millions of people live under some form of criminal governance. For them, states’ claims of a monopoly on the use of force ring hollow; for many issues, a local criminal organization is the relevant authority. Yet the state is far from absent: residents may pay taxes, vote, and even inform on gangs as punishment for abusive behavior. Criminal governance flourishes in pockets of low state presence, but ones that states can generally enter at will, if not always without violence. It thus differs from state, corporate, and rebel governance because it is embedded within larger domains of state power. I develop a conceptual framework centered around the who, what, and how of criminal governance, organizing extant research and proposing a novel dimension: charismatic versus rational-bureaucratic forms of criminal authority. I then delineate the logics that may drive criminal organizations to provide governance for non-members, establishing building blocks for future theory-building and -testing. Finally, I explore how criminal governance intersects with the state, refining the concept of crime–state “symbiosis” and distinguishing it from neighboring concepts in organized-crime and drug-violence scholarship.","container-title":"Perspectives on Politics","DOI":"10.1017/S1537592720001243","ISSN":"1537-5927, 1541-0986","language":"en","note":"publisher: Cambridge University Press","page":"1-20","source":"Cambridge University Press","title":"Conceptualizing Criminal Governance","author":[{"family":"Lessing","given":"Benjamin"}],"issued":{"literal":"undefined/ed"}}}],"schema":"https://github.com/citation-style-language/schema/raw/master/csl-citation.json"} </w:instrText>
      </w:r>
      <w:r>
        <w:fldChar w:fldCharType="separate"/>
      </w:r>
      <w:r w:rsidRPr="00A749AB">
        <w:rPr>
          <w:rFonts w:ascii="Aptos" w:hAnsi="Aptos" w:cs="Times New Roman"/>
          <w:kern w:val="0"/>
        </w:rPr>
        <w:t>Lessing, ‘Conceptualizing Criminal Governance’.</w:t>
      </w:r>
      <w:r>
        <w:fldChar w:fldCharType="end"/>
      </w:r>
    </w:p>
  </w:footnote>
  <w:footnote w:id="14">
    <w:p w14:paraId="28BC2D97" w14:textId="78B682A9" w:rsidR="002467E1" w:rsidRDefault="002467E1">
      <w:pPr>
        <w:pStyle w:val="FootnoteText"/>
      </w:pPr>
      <w:r>
        <w:rPr>
          <w:rStyle w:val="FootnoteReference"/>
        </w:rPr>
        <w:footnoteRef/>
      </w:r>
      <w:r>
        <w:t xml:space="preserve"> For contemporary examples, see for example </w:t>
      </w:r>
      <w:hyperlink r:id="rId3" w:history="1">
        <w:r w:rsidRPr="00BD116D">
          <w:rPr>
            <w:rStyle w:val="Hyperlink"/>
          </w:rPr>
          <w:t>https://globalinitiative.net/initiatives/crime-conflict/</w:t>
        </w:r>
      </w:hyperlink>
      <w:r w:rsidRPr="00BD116D">
        <w:t xml:space="preserve"> </w:t>
      </w:r>
      <w:r>
        <w:t xml:space="preserve">and </w:t>
      </w:r>
      <w:hyperlink r:id="rId4" w:history="1">
        <w:r w:rsidRPr="00BD116D">
          <w:rPr>
            <w:rStyle w:val="Hyperlink"/>
          </w:rPr>
          <w:t>https://unu.edu/cpr/brief/multilateral-responses-transnational-organized-crime-and-conflict</w:t>
        </w:r>
      </w:hyperlink>
      <w:r w:rsidRPr="00BD116D">
        <w:t>.</w:t>
      </w:r>
    </w:p>
  </w:footnote>
  <w:footnote w:id="15">
    <w:p w14:paraId="00C30EED" w14:textId="09104288" w:rsidR="00933A19" w:rsidRDefault="00933A19">
      <w:pPr>
        <w:pStyle w:val="FootnoteText"/>
      </w:pPr>
      <w:r>
        <w:rPr>
          <w:rStyle w:val="FootnoteReference"/>
        </w:rPr>
        <w:footnoteRef/>
      </w:r>
      <w:r>
        <w:t xml:space="preserve"> </w:t>
      </w:r>
      <w:r>
        <w:fldChar w:fldCharType="begin"/>
      </w:r>
      <w:r w:rsidR="00AB0775">
        <w:instrText xml:space="preserve"> ADDIN ZOTERO_ITEM CSL_CITATION {"citationID":"32G8OknC","properties":{"formattedCitation":"Collier, \\uc0\\u8216{}Rebellion as a Quasi-Criminal Activity\\uc0\\u8217{}; Cederman, Wimmer, and Min, \\uc0\\u8216{}Why Do Ethnic Groups Rebel?\\uc0\\u8217{}; Berdal, \\uc0\\u8216{}Beyond Greed and Grievance \\uc0\\u8211{} and Not Too Soon \\uc0\\u8230{}\\uc0\\u8217{}.","plainCitation":"Collier, ‘Rebellion as a Quasi-Criminal Activity’; Cederman, Wimmer, and Min, ‘Why Do Ethnic Groups Rebel?’; Berdal, ‘Beyond Greed and Grievance – and Not Too Soon …’.","noteIndex":14},"citationItems":[{"id":5053,"uris":["http://zotero.org/users/758892/items/JM4XPBTB"],"itemData":{"id":5053,"type":"article-journal","container-title":"Journal of Conflict Resolution","issue":"6","page":"839–853","source":"Google Scholar","title":"Rebellion as a quasi-criminal activity","volume":"44","author":[{"family":"Collier","given":"Paul"}],"issued":{"date-parts":[["2000"]]}}},{"id":5852,"uris":["http://zotero.org/users/758892/items/AT8G45A8"],"itemData":{"id":5852,"type":"article-journal","abstract":"Much of the quantitative literature on civil wars and ethnic conflict ignores the role of the state or treats it as a mere arena for political competition among ethnic groups. other studies analyze how the state grants or withholds minority rights and faces ethnic protest and rebellion accordingly, while largely overlooking the ethnic power configurations at the state's center. drawing on a new data set on ethnic power relations (EPR ) that identifies all politically relevant ethnic groups and their access to central state power around the world from 1946 through 2005, the authors analyze outbreaks of armed conflict as the result of competing ethnonationalist claims to state power. the findings indicate that representatives of ethnic groups are more likely to initiate conflict with the government (1) the more excluded from state power they are, especially if they have recently lost power, (2) the higher their mobilizational capacity, and (3) the more they have experienced conflict in the past.","container-title":"World Politics","ISSN":"1086-3338","issue":"1","note":"&lt;p&gt;Volume 62, Number 1, January 2010&lt;/p&gt;","page":"87-119","source":"Project MUSE","title":"Why Do Ethnic Groups Rebel?: New Data and Analysis","title-short":"Why Do Ethnic Groups Rebel?","volume":"62","author":[{"family":"Cederman","given":"Lars-Erik"},{"family":"Wimmer","given":"Andreas"},{"family":"Min","given":"Brian"}],"issued":{"date-parts":[["2010"]]}}},{"id":9212,"uris":["http://zotero.org/users/758892/items/7PAFBTT9"],"itemData":{"id":9212,"type":"article-journal","container-title":"Review of International Studies","DOI":"10.1017/S0260210505006698","issue":"04","page":"687-698","source":"Cambridge Journals Online","title":"Beyond Greed and Grievance – and not too soon …","volume":"31","author":[{"family":"Berdal","given":"Mats"}],"issued":{"date-parts":[["2005"]]}}}],"schema":"https://github.com/citation-style-language/schema/raw/master/csl-citation.json"} </w:instrText>
      </w:r>
      <w:r>
        <w:fldChar w:fldCharType="separate"/>
      </w:r>
      <w:r w:rsidR="00AB0775" w:rsidRPr="00AB0775">
        <w:rPr>
          <w:rFonts w:ascii="Aptos" w:hAnsi="Aptos" w:cs="Times New Roman"/>
          <w:kern w:val="0"/>
        </w:rPr>
        <w:t>Collier, ‘Rebellion as a Quasi-Criminal Activity’; Cederman, Wimmer, and Min, ‘Why Do Ethnic Groups Rebel?’; Berdal, ‘Beyond Greed and Grievance – and Not Too Soon …’.</w:t>
      </w:r>
      <w:r>
        <w:fldChar w:fldCharType="end"/>
      </w:r>
    </w:p>
  </w:footnote>
  <w:footnote w:id="16">
    <w:p w14:paraId="55744B08" w14:textId="0B69A082" w:rsidR="00DF02AC" w:rsidRDefault="00DF02AC">
      <w:pPr>
        <w:pStyle w:val="FootnoteText"/>
      </w:pPr>
      <w:r>
        <w:rPr>
          <w:rStyle w:val="FootnoteReference"/>
        </w:rPr>
        <w:footnoteRef/>
      </w:r>
      <w:r>
        <w:t xml:space="preserve"> </w:t>
      </w:r>
      <w:r>
        <w:fldChar w:fldCharType="begin"/>
      </w:r>
      <w:r>
        <w:instrText xml:space="preserve"> ADDIN ZOTERO_ITEM CSL_CITATION {"citationID":"T4ZXG1tV","properties":{"formattedCitation":"Allum and Gilmour, {\\i{}The Routledge Handbook of Transnational Organized Crime}.","plainCitation":"Allum and Gilmour, The Routledge Handbook of Transnational Organized Crime.","noteIndex":16},"citationItems":[{"id":47996,"uris":["http://zotero.org/users/758892/items/LRIYZTRH"],"itemData":{"id":47996,"type":"book","abstract":"\"This fully revised new edition provides a definitive and holistic overview of Transnational Organized Crime (TOC) in a world in which right wing populism has gained ground, trade wars are increasing, and China is an emerging force. Updated to reflect the changing world environment the book includes new chapters on issues such as criminal network analysis, environmental crime, cybercrime, people smuggling, drugs activities in the modern world, the relationship between organised crime and corruption, anti-organised crime resilience and the effectiveness of the fight against organised crime. New country case studies have also been included. The Handbook is presented in six sections: Theories, definitions and laws Origins and manifestations Contagion and Evolution Intensity and Impact Governance Reaction and Future Truly interdisciplinary in nature the Handbook features contributions from an international team of experts, working in different academic disciplines and within varied law enforcement agencies. It will appeal to scholars, policy-makers, and practitioners in International Law, Global Governance, International Political Economy and Security Studies\"--","edition":"Second edition.","ISBN":"978-1-00-304470-3","language":"eng","publisher":"Routledge.","source":"birmingham-primo.com","title":"The Routledge handbook of transnational organized crime","editor":[{"family":"Allum","given":"Felia"},{"family":"Gilmour","given":"Stan"}],"issued":{"date-parts":[["2022"]]}}}],"schema":"https://github.com/citation-style-language/schema/raw/master/csl-citation.json"} </w:instrText>
      </w:r>
      <w:r>
        <w:fldChar w:fldCharType="separate"/>
      </w:r>
      <w:r w:rsidRPr="00DF02AC">
        <w:rPr>
          <w:rFonts w:ascii="Aptos" w:hAnsi="Aptos" w:cs="Times New Roman"/>
          <w:kern w:val="0"/>
        </w:rPr>
        <w:t xml:space="preserve">Allum and Gilmour, </w:t>
      </w:r>
      <w:r w:rsidRPr="00DF02AC">
        <w:rPr>
          <w:rFonts w:ascii="Aptos" w:hAnsi="Aptos" w:cs="Times New Roman"/>
          <w:i/>
          <w:iCs/>
          <w:kern w:val="0"/>
        </w:rPr>
        <w:t>The Routledge Handbook of Transnational Organized Crime</w:t>
      </w:r>
      <w:r w:rsidRPr="00DF02AC">
        <w:rPr>
          <w:rFonts w:ascii="Aptos" w:hAnsi="Aptos" w:cs="Times New Roman"/>
          <w:kern w:val="0"/>
        </w:rPr>
        <w:t>.</w:t>
      </w:r>
      <w:r>
        <w:fldChar w:fldCharType="end"/>
      </w:r>
    </w:p>
  </w:footnote>
  <w:footnote w:id="17">
    <w:p w14:paraId="3877401F" w14:textId="008B2D80" w:rsidR="00205B25" w:rsidRDefault="00205B25">
      <w:pPr>
        <w:pStyle w:val="FootnoteText"/>
      </w:pPr>
      <w:r>
        <w:rPr>
          <w:rStyle w:val="FootnoteReference"/>
        </w:rPr>
        <w:footnoteRef/>
      </w:r>
      <w:r>
        <w:t xml:space="preserve"> </w:t>
      </w:r>
      <w:r>
        <w:fldChar w:fldCharType="begin"/>
      </w:r>
      <w:r w:rsidR="00031B84">
        <w:instrText xml:space="preserve"> ADDIN ZOTERO_ITEM CSL_CITATION {"citationID":"oYdqVvzs","properties":{"formattedCitation":"Williams, {\\i{}Security Studies}.","plainCitation":"Williams, Security Studies.","noteIndex":17},"citationItems":[{"id":9371,"uris":["http://zotero.org/users/758892/items/GGGSMTY6"],"itemData":{"id":9371,"type":"book","call-number":"JZ5588 .S4297 2018","edition":"Third edition","ISBN":"978-0-415-78489-4","number-of-pages":"665","publisher":"Routledge","source":"Library of Congress ISBN","title":"Security studies: an introduction","title-short":"Security studies","editor":[{"family":"Williams","given":"Paul D."}],"issued":{"date-parts":[["2018"]]}}}],"schema":"https://github.com/citation-style-language/schema/raw/master/csl-citation.json"} </w:instrText>
      </w:r>
      <w:r>
        <w:fldChar w:fldCharType="separate"/>
      </w:r>
      <w:r w:rsidRPr="00205B25">
        <w:rPr>
          <w:rFonts w:ascii="Aptos" w:hAnsi="Aptos" w:cs="Times New Roman"/>
          <w:kern w:val="0"/>
        </w:rPr>
        <w:t xml:space="preserve">Williams, </w:t>
      </w:r>
      <w:r w:rsidRPr="00205B25">
        <w:rPr>
          <w:rFonts w:ascii="Aptos" w:hAnsi="Aptos" w:cs="Times New Roman"/>
          <w:i/>
          <w:iCs/>
          <w:kern w:val="0"/>
        </w:rPr>
        <w:t>Security Studies</w:t>
      </w:r>
      <w:r w:rsidRPr="00205B25">
        <w:rPr>
          <w:rFonts w:ascii="Aptos" w:hAnsi="Aptos" w:cs="Times New Roman"/>
          <w:kern w:val="0"/>
        </w:rPr>
        <w:t>.</w:t>
      </w:r>
      <w:r>
        <w:fldChar w:fldCharType="end"/>
      </w:r>
    </w:p>
  </w:footnote>
  <w:footnote w:id="18">
    <w:p w14:paraId="678AC80B" w14:textId="5E2F1E85" w:rsidR="00812F6C" w:rsidRDefault="00812F6C">
      <w:pPr>
        <w:pStyle w:val="FootnoteText"/>
      </w:pPr>
      <w:r>
        <w:rPr>
          <w:rStyle w:val="FootnoteReference"/>
        </w:rPr>
        <w:footnoteRef/>
      </w:r>
      <w:r>
        <w:t xml:space="preserve"> </w:t>
      </w:r>
      <w:r>
        <w:fldChar w:fldCharType="begin"/>
      </w:r>
      <w:r>
        <w:instrText xml:space="preserve"> ADDIN ZOTERO_ITEM CSL_CITATION {"citationID":"nD09lgnJ","properties":{"formattedCitation":"Baldwin, \\uc0\\u8216{}The Concept of Security\\uc0\\u8217{}.","plainCitation":"Baldwin, ‘The Concept of Security’.","noteIndex":16},"citationItems":[{"id":9084,"uris":["http://zotero.org/users/758892/items/TPAU2SC8"],"itemData":{"id":9084,"type":"article-journal","container-title":"Review of International Studies","ISSN":"0260-2105","issue":"1","journalAbbreviation":"Review of International Studies","license":"Copyright © 1997 Cambridge University Press","page":"5-26","source":"JSTOR","title":"The Concept of Security","volume":"23","author":[{"family":"Baldwin","given":"David A."}],"issued":{"date-parts":[["1997",1,1]]}}}],"schema":"https://github.com/citation-style-language/schema/raw/master/csl-citation.json"} </w:instrText>
      </w:r>
      <w:r>
        <w:fldChar w:fldCharType="separate"/>
      </w:r>
      <w:r w:rsidRPr="00812F6C">
        <w:rPr>
          <w:rFonts w:ascii="Aptos" w:hAnsi="Aptos" w:cs="Times New Roman"/>
          <w:kern w:val="0"/>
        </w:rPr>
        <w:t>Baldwin, ‘The Concept of Security’.</w:t>
      </w:r>
      <w:r>
        <w:fldChar w:fldCharType="end"/>
      </w:r>
    </w:p>
  </w:footnote>
  <w:footnote w:id="19">
    <w:p w14:paraId="1D5A590F" w14:textId="27BBBA30" w:rsidR="00FC3388" w:rsidRDefault="00FC3388">
      <w:pPr>
        <w:pStyle w:val="FootnoteText"/>
      </w:pPr>
      <w:r>
        <w:rPr>
          <w:rStyle w:val="FootnoteReference"/>
        </w:rPr>
        <w:footnoteRef/>
      </w:r>
      <w:r>
        <w:t xml:space="preserve"> </w:t>
      </w:r>
      <w:r>
        <w:fldChar w:fldCharType="begin"/>
      </w:r>
      <w:r>
        <w:instrText xml:space="preserve"> ADDIN ZOTERO_ITEM CSL_CITATION {"citationID":"RmhAYZAi","properties":{"formattedCitation":"Walt, \\uc0\\u8216{}The Renaissance of Security Studies\\uc0\\u8217{}.","plainCitation":"Walt, ‘The Renaissance of Security Studies’.","noteIndex":16},"citationItems":[{"id":9083,"uris":["http://zotero.org/users/758892/items/J3NVPZG3"],"itemData":{"id":9083,"type":"article-journal","abstract":"This article examines the evolution of security studies, focusing on recent developments in the field. It provides a survey of the field, a guide to the current research agenda, and some practical lessons for managing the field in the years ahead. Security studies remains an interdisciplinary enterprise, but its earlier preoccupation with nuclear issues has broadened to include topics such as grand strategy, conventional warfare, and the domestic sources of international conflict, among others. Work in the field is increasingly rigorous and theoretically inclined, which reflects the marriage between security studies and social science and its improved standing within the academic world. Because national security will remain a problem for states and because an independent scholarly community contributes to effective public policy in this area, the renaissance of security studies is an important positive development for the field of international relations.","container-title":"International Studies Quarterly","DOI":"10.2307/2600471","ISSN":"0020-8833","issue":"2","note":"ArticleType: research-article / Full publication date: Jun., 1991 / Copyright © 1991 The International Studies Association","page":"211-239","source":"JSTOR","title":"The Renaissance of Security Studies","volume":"35","author":[{"family":"Walt","given":"Stephen M."}],"issued":{"date-parts":[["1991",6,1]]}}}],"schema":"https://github.com/citation-style-language/schema/raw/master/csl-citation.json"} </w:instrText>
      </w:r>
      <w:r>
        <w:fldChar w:fldCharType="separate"/>
      </w:r>
      <w:r w:rsidRPr="00FC3388">
        <w:rPr>
          <w:rFonts w:ascii="Aptos" w:hAnsi="Aptos" w:cs="Times New Roman"/>
          <w:kern w:val="0"/>
        </w:rPr>
        <w:t>Walt, ‘The Renaissance of Security Studies’.</w:t>
      </w:r>
      <w:r>
        <w:fldChar w:fldCharType="end"/>
      </w:r>
    </w:p>
  </w:footnote>
  <w:footnote w:id="20">
    <w:p w14:paraId="53127C8E" w14:textId="12740C07" w:rsidR="00454B3E" w:rsidRDefault="00454B3E">
      <w:pPr>
        <w:pStyle w:val="FootnoteText"/>
      </w:pPr>
      <w:r>
        <w:rPr>
          <w:rStyle w:val="FootnoteReference"/>
        </w:rPr>
        <w:footnoteRef/>
      </w:r>
      <w:r>
        <w:t xml:space="preserve"> </w:t>
      </w:r>
      <w:r>
        <w:fldChar w:fldCharType="begin"/>
      </w:r>
      <w:r>
        <w:instrText xml:space="preserve"> ADDIN ZOTERO_ITEM CSL_CITATION {"citationID":"DKDFTtyk","properties":{"formattedCitation":"Tang, \\uc0\\u8216{}The Security Dilemma\\uc0\\u8217{}; Booth and Wheeler, {\\i{}The Security Dilemma}; Posen, \\uc0\\u8216{}The Security Dilemma and Ethnic Conflict\\uc0\\u8217{}.","plainCitation":"Tang, ‘The Security Dilemma’; Booth and Wheeler, The Security Dilemma; Posen, ‘The Security Dilemma and Ethnic Conflict’.","noteIndex":18},"citationItems":[{"id":9065,"uris":["http://zotero.org/users/758892/items/3ESQB3T9"],"itemData":{"id":9065,"type":"article-journal","abstract":"Critically building upon the work of Herbert Butterfield, John Herz, and Robert Jervis, this article advances a more rigorous definition of the security dilemma. It demonstrates critical implications of the rigorously redefined concept. It examines several influential extensions and expansions of the original concept, showing that most have been inaccurate and misleading, and proposes remedies for correcting the mistakes. Finally, it identifies several areas of future research that may yield important new insights into the dynamics of the security dilemma.","container-title":"Security Studies","DOI":"10.1080/09636410903133050","ISSN":"0963-6412","issue":"3","page":"587-623","source":"Taylor and Francis+NEJM","title":"The Security Dilemma: A Conceptual Analysis","title-short":"The Security Dilemma","volume":"18","author":[{"family":"Tang","given":"Shiping"}],"issued":{"date-parts":[["2009"]]}}},{"id":10537,"uris":["http://zotero.org/users/758892/items/UST9M87G"],"itemData":{"id":10537,"type":"book","call-number":"327./1/7 BOO","ISBN":"978-0-333-58745-4","number-of-pages":"364","publisher":"Palgrave Macmillan","source":"goya.ceu.hu Library Catalog","title":"The Security Dilemma: Fear, Cooperation, and Trust in World Politics","title-short":"The Security Dilemma","author":[{"family":"Booth","given":"Ken"},{"family":"Wheeler","given":"Nicholas J"}],"issued":{"date-parts":[["2008"]]}}},{"id":2166,"uris":["http://zotero.org/users/758892/items/BTZKICCM"],"itemData":{"id":2166,"type":"article-journal","container-title":"Survival","DOI":"10.1080/00396339308442672","ISSN":"0039-6338","issue":"1","page":"27-47","source":"Taylor&amp;Francis","title":"The security dilemma and ethnic conflict","volume":"35","author":[{"family":"Posen","given":"Barry R."}],"issued":{"date-parts":[["1993"]]}}}],"schema":"https://github.com/citation-style-language/schema/raw/master/csl-citation.json"} </w:instrText>
      </w:r>
      <w:r>
        <w:fldChar w:fldCharType="separate"/>
      </w:r>
      <w:r w:rsidRPr="00454B3E">
        <w:rPr>
          <w:rFonts w:ascii="Aptos" w:hAnsi="Aptos" w:cs="Times New Roman"/>
          <w:kern w:val="0"/>
        </w:rPr>
        <w:t xml:space="preserve">Tang, ‘The Security Dilemma’; Booth and Wheeler, </w:t>
      </w:r>
      <w:r w:rsidRPr="00454B3E">
        <w:rPr>
          <w:rFonts w:ascii="Aptos" w:hAnsi="Aptos" w:cs="Times New Roman"/>
          <w:i/>
          <w:iCs/>
          <w:kern w:val="0"/>
        </w:rPr>
        <w:t>The Security Dilemma</w:t>
      </w:r>
      <w:r w:rsidRPr="00454B3E">
        <w:rPr>
          <w:rFonts w:ascii="Aptos" w:hAnsi="Aptos" w:cs="Times New Roman"/>
          <w:kern w:val="0"/>
        </w:rPr>
        <w:t>; Posen, ‘The Security Dilemma and Ethnic Conflict’.</w:t>
      </w:r>
      <w:r>
        <w:fldChar w:fldCharType="end"/>
      </w:r>
    </w:p>
  </w:footnote>
  <w:footnote w:id="21">
    <w:p w14:paraId="693CE56D" w14:textId="56275355" w:rsidR="000B2AEF" w:rsidRDefault="000B2AEF">
      <w:pPr>
        <w:pStyle w:val="FootnoteText"/>
      </w:pPr>
      <w:r>
        <w:rPr>
          <w:rStyle w:val="FootnoteReference"/>
        </w:rPr>
        <w:footnoteRef/>
      </w:r>
      <w:r>
        <w:t xml:space="preserve"> </w:t>
      </w:r>
      <w:r>
        <w:fldChar w:fldCharType="begin"/>
      </w:r>
      <w:r w:rsidR="00A749AB">
        <w:instrText xml:space="preserve"> ADDIN ZOTERO_ITEM CSL_CITATION {"citationID":"XGTmUvow","properties":{"formattedCitation":"Wendt, {\\i{}Social Theory of International Politics}, 255.","plainCitation":"Wendt, Social Theory of International Politics, 255.","noteIndex":12},"citationItems":[{"id":11292,"uris":["http://zotero.org/users/758892/items/M9UQK8FI"],"itemData":{"id":11292,"type":"book","call-number":"327./1/01 WEN","collection-number":"67","collection-title":"Cambridge studies in international relations","ISBN":"0-521-46960-0","number-of-pages":"429","publisher":"Cambridge University Press","source":"goya.ceu.hu Library Catalog","title":"Social Theory of International Politics","author":[{"family":"Wendt","given":"Alexander"}],"issued":{"date-parts":[["1999"]]}},"locator":"255","label":"page"}],"schema":"https://github.com/citation-style-language/schema/raw/master/csl-citation.json"} </w:instrText>
      </w:r>
      <w:r>
        <w:fldChar w:fldCharType="separate"/>
      </w:r>
      <w:r w:rsidR="00A749AB" w:rsidRPr="00A749AB">
        <w:rPr>
          <w:rFonts w:ascii="Aptos" w:hAnsi="Aptos" w:cs="Times New Roman"/>
          <w:kern w:val="0"/>
        </w:rPr>
        <w:t xml:space="preserve">Wendt, </w:t>
      </w:r>
      <w:r w:rsidR="00A749AB" w:rsidRPr="00A749AB">
        <w:rPr>
          <w:rFonts w:ascii="Aptos" w:hAnsi="Aptos" w:cs="Times New Roman"/>
          <w:i/>
          <w:iCs/>
          <w:kern w:val="0"/>
        </w:rPr>
        <w:t>Social Theory of International Politics</w:t>
      </w:r>
      <w:r w:rsidR="00A749AB" w:rsidRPr="00A749AB">
        <w:rPr>
          <w:rFonts w:ascii="Aptos" w:hAnsi="Aptos" w:cs="Times New Roman"/>
          <w:kern w:val="0"/>
        </w:rPr>
        <w:t>, 255.</w:t>
      </w:r>
      <w:r>
        <w:fldChar w:fldCharType="end"/>
      </w:r>
    </w:p>
  </w:footnote>
  <w:footnote w:id="22">
    <w:p w14:paraId="298B4187" w14:textId="00584829" w:rsidR="004D5280" w:rsidRDefault="004D5280">
      <w:pPr>
        <w:pStyle w:val="FootnoteText"/>
      </w:pPr>
      <w:r>
        <w:rPr>
          <w:rStyle w:val="FootnoteReference"/>
        </w:rPr>
        <w:footnoteRef/>
      </w:r>
      <w:r>
        <w:t xml:space="preserve"> </w:t>
      </w:r>
      <w:r>
        <w:fldChar w:fldCharType="begin"/>
      </w:r>
      <w:r>
        <w:instrText xml:space="preserve"> ADDIN ZOTERO_ITEM CSL_CITATION {"citationID":"sKopbHJs","properties":{"formattedCitation":"Finnemore and Sikkink, \\uc0\\u8216{}Taking Stock\\uc0\\u8217{}.","plainCitation":"Finnemore and Sikkink, ‘Taking Stock’.","noteIndex":19},"citationItems":[{"id":91,"uris":["http://zotero.org/users/758892/items/6SDLAUZ5"],"itemData":{"id":91,"type":"article-journal","abstract":"Constructivism is an approach to social analysis that deals with the role of human consciousness in social life. It asserts that human interaction is shaped primarily by ideational factors, not simply material ones; that the most important ideational factors are widely shared or “intersubjective” beliefs, which are not reducible to individuals; and that these shared beliefs construct the interests of purposive actors. In international relations, research in a constructivist mode has exploded over the past decade, creating new and potentially fruitful connections with long-standing interest in these issues in comparative politics. In this essay, we evaluate the empirical research program of constructivism in these two fields. We first lay out the basic tenets of constructivism and examine their implications for research methodology, concluding that constructivism's distinctiveness lies in its theoretical arguments, not in its empirical research strategies. The bulk of the essay explores specific constructivist literatures and debates in international relations and comparative politics.","container-title":"Annual Review of Political Science","DOI":"10.1146/annurev.polisci.4.1.391","ISSN":"1094-2939","issue":"1","journalAbbreviation":"Annu. Rev. Polit. Sci.","page":"391-416","source":"ezproxy-prd.bodleian.ox.ac.uk (Atypon)","title":"Taking stock: the constructivist research program in international relations and comparative politics","title-short":"Taking Stock","volume":"4","author":[{"family":"Finnemore","given":"Martha"},{"family":"Sikkink","given":"Kathryn"}],"issued":{"date-parts":[["2001",6,1]]}}}],"schema":"https://github.com/citation-style-language/schema/raw/master/csl-citation.json"} </w:instrText>
      </w:r>
      <w:r>
        <w:fldChar w:fldCharType="separate"/>
      </w:r>
      <w:r w:rsidRPr="004D5280">
        <w:rPr>
          <w:rFonts w:ascii="Aptos" w:hAnsi="Aptos" w:cs="Times New Roman"/>
          <w:kern w:val="0"/>
        </w:rPr>
        <w:t>Finnemore and Sikkink, ‘Taking Stock’.</w:t>
      </w:r>
      <w:r>
        <w:fldChar w:fldCharType="end"/>
      </w:r>
    </w:p>
  </w:footnote>
  <w:footnote w:id="23">
    <w:p w14:paraId="3EF8E8DA" w14:textId="6FF5C946" w:rsidR="00782FA8" w:rsidRDefault="00782FA8">
      <w:pPr>
        <w:pStyle w:val="FootnoteText"/>
      </w:pPr>
      <w:r>
        <w:rPr>
          <w:rStyle w:val="FootnoteReference"/>
        </w:rPr>
        <w:footnoteRef/>
      </w:r>
      <w:r>
        <w:t xml:space="preserve"> </w:t>
      </w:r>
      <w:r>
        <w:fldChar w:fldCharType="begin"/>
      </w:r>
      <w:r w:rsidR="00545F4E">
        <w:instrText xml:space="preserve"> ADDIN ZOTERO_ITEM CSL_CITATION {"citationID":"DzKV8MWe","properties":{"formattedCitation":"Buzan, Waever, and Wilde, {\\i{}Security: A New Framework for Analysis}; see also Balzacq, L\\uc0\\u233{}onard, and Ruzicka, \\uc0\\u8216{}\\uc0\\u8220{}Securitization\\uc0\\u8221{} Revisited\\uc0\\u8217{}; Floyd, \\uc0\\u8216{}Extraordinary or Ordinary Emergency Measures\\uc0\\u8217{}.","plainCitation":"Buzan, Waever, and Wilde, Security: A New Framework for Analysis; see also Balzacq, Léonard, and Ruzicka, ‘“Securitization” Revisited’; Floyd, ‘Extraordinary or Ordinary Emergency Measures’.","noteIndex":23},"citationItems":[{"id":9086,"uris":["http://zotero.org/users/758892/items/HXFEU9WB"],"itemData":{"id":9086,"type":"book","call-number":"327./1/7 BUZ","event-place":"Boulder, Colo","ISBN":"1-55587-603-X","number-of-pages":"239","publisher":"L. Rienner","publisher-place":"Boulder, Colo","source":"goya.ceu.hu Library Catalog","title":"Security: A New Framework for Analysis","author":[{"family":"Buzan","given":"Barry"},{"family":"Waever","given":"Ole"},{"family":"Wilde","given":"Jaap","dropping-particle":"de"}],"issued":{"date-parts":[["1998"]]}}},{"id":48470,"uris":["http://zotero.org/users/758892/items/QEZMG5KI"],"itemData":{"id":48470,"type":"article-journal","abstract":"Securitization theory seeks to explain the politics through which (1) the security character of public problems is established, (2) the social commitments resulting from the collective acceptance that a phenomenon is a threat are fixed and (3) the possibility of a particular policy is created. In the last decade, research on securitization has grown significantly. The aim of this article is to evaluate the achievements of securitization theory. First, its main concepts and premises are critically discussed. This article then proceeds to examine the empirical applications of securitization theory to a broad range of issues, as well as the theoretical implications of these studies. Finally, it discusses the main challenges faced by securitization scholars and puts forward strategies to overcome them. This article develops three inter-related arguments. First, notably thanks to empirical studies, securitization theory has significantly developed beyond its initial focus on the speech act. Second, as a result, the distinctiveness of securitization theory currently lies in its capacity to articulate a specific approach to security – influenced by the speech act – with an ‘analytics of government’, which emphasizes practices and processes. Third, securitization theory faces three types of challenges, related, respectively, to theory, method and methodology. The capacity of scholars to overcome those will strongly influence the extent to which securitization theory will be able to make significant contributions to the debates in Security Studies and International Relations in the years to come.","container-title":"International Relations","DOI":"10.1177/0047117815596590","ISSN":"0047-1178","issue":"4","language":"en","note":"publisher: SAGE Publications Ltd","page":"494-531","source":"SAGE Journals","title":"‘Securitization’ revisited: theory and cases","title-short":"‘Securitization’ revisited","volume":"30","author":[{"family":"Balzacq","given":"Thierry"},{"family":"Léonard","given":"Sarah"},{"family":"Ruzicka","given":"Jan"}],"issued":{"date-parts":[["2016",12,1]]}},"label":"page","prefix":"see also "},{"id":48472,"uris":["http://zotero.org/users/758892/items/DLZHXHY3"],"itemData":{"id":48472,"type":"article-journal","abstract":"This paper is concerned with two interrelated problems in the Copenhagen School’s (CS’s) securitization theory. The first is the challenge that non-exceptional security polices pose to the theory, which starts from the assumption that securitization is ‘successful’ only when extraordinary emergency measures are adopted. The second arises not from what factors define securitization’s ‘success’, but rather from who does so. Securitization theory suffers from a constructivist deficit because the criterion for the ‘success’ of securitization is set by scholars, whereas a more ‘radically constructivist [theory] regarding security’ would require practitioners to be in charge of defining the ‘success’ of securitization. The paper offers a solution to both of these problems by suggesting that securitization is ‘successful’ only when (1) the identification of a threat that justifies a response (securitizing move) is followed by (2) a change of behaviour (action) by a relevant agent (that is, the securitizing actor or someone instructed by the same), and also (3) the action taken is justified by the securitizing actor with reference to the threat they identified and declared in the securitizing move. It goes on to reject the ideas of a sanctioning audience and of the insistence on existential threats as also set by the CS.","container-title":"Cambridge Review of International Affairs","DOI":"10.1080/09557571.2015.1077651","ISSN":"0955-7571","issue":"2","note":"publisher: Routledge\n_eprint: https://doi.org/10.1080/09557571.2015.1077651","page":"677-694","source":"Taylor and Francis+NEJM","title":"Extraordinary or ordinary emergency measures: what, and who, defines the ‘success’ of securitization?","title-short":"Extraordinary or ordinary emergency measures","volume":"29","author":[{"family":"Floyd","given":"Rita"}],"issued":{"date-parts":[["2016",4,2]]}}}],"schema":"https://github.com/citation-style-language/schema/raw/master/csl-citation.json"} </w:instrText>
      </w:r>
      <w:r>
        <w:fldChar w:fldCharType="separate"/>
      </w:r>
      <w:r w:rsidR="00545F4E" w:rsidRPr="00545F4E">
        <w:rPr>
          <w:rFonts w:ascii="Aptos" w:hAnsi="Aptos" w:cs="Times New Roman"/>
          <w:kern w:val="0"/>
        </w:rPr>
        <w:t xml:space="preserve">Buzan, Waever, and Wilde, </w:t>
      </w:r>
      <w:r w:rsidR="00545F4E" w:rsidRPr="00545F4E">
        <w:rPr>
          <w:rFonts w:ascii="Aptos" w:hAnsi="Aptos" w:cs="Times New Roman"/>
          <w:i/>
          <w:iCs/>
          <w:kern w:val="0"/>
        </w:rPr>
        <w:t>Security: A New Framework for Analysis</w:t>
      </w:r>
      <w:r w:rsidR="00545F4E" w:rsidRPr="00545F4E">
        <w:rPr>
          <w:rFonts w:ascii="Aptos" w:hAnsi="Aptos" w:cs="Times New Roman"/>
          <w:kern w:val="0"/>
        </w:rPr>
        <w:t>; see also Balzacq, Léonard, and Ruzicka, ‘“Securitization” Revisited’; Floyd, ‘Extraordinary or Ordinary Emergency Measures’.</w:t>
      </w:r>
      <w:r>
        <w:fldChar w:fldCharType="end"/>
      </w:r>
    </w:p>
  </w:footnote>
  <w:footnote w:id="24">
    <w:p w14:paraId="0CBFA4A8" w14:textId="6E9D33FE" w:rsidR="00972B15" w:rsidRDefault="00972B15">
      <w:pPr>
        <w:pStyle w:val="FootnoteText"/>
      </w:pPr>
      <w:r>
        <w:rPr>
          <w:rStyle w:val="FootnoteReference"/>
        </w:rPr>
        <w:footnoteRef/>
      </w:r>
      <w:r>
        <w:t xml:space="preserve"> </w:t>
      </w:r>
      <w:r>
        <w:fldChar w:fldCharType="begin"/>
      </w:r>
      <w:r>
        <w:instrText xml:space="preserve"> ADDIN ZOTERO_ITEM CSL_CITATION {"citationID":"5b2ZetQs","properties":{"formattedCitation":"Booth, \\uc0\\u8216{}Security and Emancipation\\uc0\\u8217{}.","plainCitation":"Booth, ‘Security and Emancipation’.","noteIndex":20},"citationItems":[{"id":9076,"uris":["http://zotero.org/users/758892/items/NWVS7C8A"],"itemData":{"id":9076,"type":"article-journal","container-title":"Review of International Studies","DOI":"10.1017/S0260210500112033","ISSN":"0260-2105, 1469-9044","issue":"04","language":"en","page":"313","source":"Crossref","title":"Security and emancipation","volume":"17","author":[{"family":"Booth","given":"Ken"}],"issued":{"date-parts":[["1991",10]]}}}],"schema":"https://github.com/citation-style-language/schema/raw/master/csl-citation.json"} </w:instrText>
      </w:r>
      <w:r>
        <w:fldChar w:fldCharType="separate"/>
      </w:r>
      <w:r w:rsidRPr="00972B15">
        <w:rPr>
          <w:rFonts w:ascii="Aptos" w:hAnsi="Aptos" w:cs="Times New Roman"/>
          <w:kern w:val="0"/>
        </w:rPr>
        <w:t>Booth, ‘Security and Emancipation’.</w:t>
      </w:r>
      <w:r>
        <w:fldChar w:fldCharType="end"/>
      </w:r>
    </w:p>
  </w:footnote>
  <w:footnote w:id="25">
    <w:p w14:paraId="04FAA11A" w14:textId="77777777" w:rsidR="00527930" w:rsidRDefault="00527930" w:rsidP="00527930">
      <w:pPr>
        <w:pStyle w:val="FootnoteText"/>
      </w:pPr>
      <w:r>
        <w:rPr>
          <w:rStyle w:val="FootnoteReference"/>
        </w:rPr>
        <w:footnoteRef/>
      </w:r>
      <w:r>
        <w:t xml:space="preserve"> </w:t>
      </w:r>
      <w:r>
        <w:fldChar w:fldCharType="begin"/>
      </w:r>
      <w:r>
        <w:instrText xml:space="preserve"> ADDIN ZOTERO_ITEM CSL_CITATION {"citationID":"mgOa3zcd","properties":{"formattedCitation":"United Nations, \\uc0\\u8216{}Human Development Report 1994\\uc0\\u8217{}.","plainCitation":"United Nations, ‘Human Development Report 1994’.","noteIndex":21},"citationItems":[{"id":44342,"uris":["http://zotero.org/users/758892/items/CVBHPL4P"],"itemData":{"id":44342,"type":"report","abstract":"The 1994 Report introduces a new concept of human security, which equates security with people rather than territories, with development rather than arms. It examines both the national and the global concerns of human security. The Report seeks to deal with these concerns through a new paradigm of sustainable human development, capturing the potential peace dividend, a new form of development co-operation and a restructured system of global institutions.","language":"en","note":"container-title: Human Development Reports","publisher":"United Nations","source":"hdr.undp.org","title":"Human Development Report 1994","URL":"https://hdr.undp.org/content/human-development-report-1994","author":[{"literal":"United Nations"}],"accessed":{"date-parts":[["2023",10,21]]},"issued":{"date-parts":[["1994"]]}}}],"schema":"https://github.com/citation-style-language/schema/raw/master/csl-citation.json"} </w:instrText>
      </w:r>
      <w:r>
        <w:fldChar w:fldCharType="separate"/>
      </w:r>
      <w:r w:rsidRPr="00972B15">
        <w:rPr>
          <w:rFonts w:ascii="Aptos" w:hAnsi="Aptos" w:cs="Times New Roman"/>
          <w:kern w:val="0"/>
        </w:rPr>
        <w:t>United Nations, ‘Human Development Report 1994’.</w:t>
      </w:r>
      <w:r>
        <w:fldChar w:fldCharType="end"/>
      </w:r>
    </w:p>
  </w:footnote>
  <w:footnote w:id="26">
    <w:p w14:paraId="7B6B9FAC" w14:textId="5C6F96F4" w:rsidR="007D388B" w:rsidRDefault="007D388B">
      <w:pPr>
        <w:pStyle w:val="FootnoteText"/>
      </w:pPr>
      <w:r>
        <w:rPr>
          <w:rStyle w:val="FootnoteReference"/>
        </w:rPr>
        <w:footnoteRef/>
      </w:r>
      <w:r>
        <w:t xml:space="preserve"> </w:t>
      </w:r>
      <w:r>
        <w:fldChar w:fldCharType="begin"/>
      </w:r>
      <w:r>
        <w:instrText xml:space="preserve"> ADDIN ZOTERO_ITEM CSL_CITATION {"citationID":"GP1sE9vV","properties":{"formattedCitation":"Based on Krause, \\uc0\\u8216{}Critical Theory and Security Studies\\uc0\\u8217{}.","plainCitation":"Based on Krause, ‘Critical Theory and Security Studies’.","noteIndex":25},"citationItems":[{"id":43953,"uris":["http://zotero.org/users/758892/items/3U7GAJK2"],"itemData":{"id":43953,"type":"article-journal","abstract":"Security studies has been slow to accept critical challenges to its problematic, and these have often been met with hostility and deliberately marginalized. This article responds to some of the critiques, and outlines the main elements of a critical engagement with security studies. It discusses the intellectual and `disciplining' power of rationalist and neorealist security studies scholarship, and highlights some of the practices that marginalize critical scholarship. It then overviews the rich and diverse threads of current research within `critical security studies', and emphasizes the central themes of its research agenda: how threats and appropriate responses are constructed; how the `objects' of security are constructed; and what the possibilities are for the transformation of `security dilemmas'. It summarizes the six central claims (concerning the constitution of the actors of world politics, its dynamic and constructed nature, the concomitant epistemological claims and methodological tools, and the purpose of theorizing) that are the hallmark of a critical approach to security studies. Finally, it clarifies what these claims do and do not entail for research and practice in international security studies.","container-title":"Cooperation and Conflict","DOI":"10.1177/0010836798033003004","ISSN":"0010-8367","issue":"3","language":"en","note":"publisher: SAGE Publications Ltd","page":"298-333","source":"SAGE Journals","title":"Critical Theory and Security Studies: The Research Programme of `Critical Security Studies'","title-short":"Critical Theory and Security Studies","volume":"33","author":[{"family":"Krause","given":"Keith"}],"issued":{"date-parts":[["1998",9,1]]}},"label":"page","prefix":"Based on "}],"schema":"https://github.com/citation-style-language/schema/raw/master/csl-citation.json"} </w:instrText>
      </w:r>
      <w:r>
        <w:fldChar w:fldCharType="separate"/>
      </w:r>
      <w:r w:rsidRPr="007D388B">
        <w:rPr>
          <w:rFonts w:ascii="Aptos" w:hAnsi="Aptos" w:cs="Times New Roman"/>
          <w:kern w:val="0"/>
        </w:rPr>
        <w:t>Based on Krause, ‘Critical Theory and Security Studies’.</w:t>
      </w:r>
      <w:r>
        <w:fldChar w:fldCharType="end"/>
      </w:r>
    </w:p>
  </w:footnote>
  <w:footnote w:id="27">
    <w:p w14:paraId="48850390" w14:textId="454EF714" w:rsidR="00972B15" w:rsidRDefault="00972B15">
      <w:pPr>
        <w:pStyle w:val="FootnoteText"/>
      </w:pPr>
      <w:r>
        <w:rPr>
          <w:rStyle w:val="FootnoteReference"/>
        </w:rPr>
        <w:footnoteRef/>
      </w:r>
      <w:r>
        <w:t xml:space="preserve"> </w:t>
      </w:r>
      <w:r>
        <w:fldChar w:fldCharType="begin"/>
      </w:r>
      <w:r>
        <w:instrText xml:space="preserve"> ADDIN ZOTERO_ITEM CSL_CITATION {"citationID":"81KuJoZp","properties":{"formattedCitation":"Krause, \\uc0\\u8216{}Emancipation and Critique in Peace and Conflict Research\\uc0\\u8217{}.","plainCitation":"Krause, ‘Emancipation and Critique in Peace and Conflict Research’.","noteIndex":22},"citationItems":[{"id":14077,"uris":["http://zotero.org/users/758892/items/RDDSU96Z"],"itemData":{"id":14077,"type":"article-journal","abstract":"This contribution examines how the critical potential of research on peace in International Relations has been simultaneously marginalized and transformed. It briefly traces the evolution of peace research, as well as choices, contestation, and breaks in the construction (and “disciplining”) of peace and conflict research. It then focuses on two epistemological and normative choices that occlude the emancipatory potential of peace research and marginalize certain approaches to the study of the causes of war and conditions of peace. In a more positive vein, it illustrates, with examples from recent research, where potentially emancipatory or transformative scholarship on building peace has migrated.","container-title":"Journal of Global Security Studies","DOI":"10.1093/jogss/ogy049","ISSN":"2057-3170","issue":"2","journalAbbreviation":"Journal of Global Security Studies","page":"292-298","source":"Silverchair","title":"Emancipation and Critique in Peace and Conflict Research","volume":"4","author":[{"family":"Krause","given":"Keith"}],"issued":{"date-parts":[["2019",4,1]]}}}],"schema":"https://github.com/citation-style-language/schema/raw/master/csl-citation.json"} </w:instrText>
      </w:r>
      <w:r>
        <w:fldChar w:fldCharType="separate"/>
      </w:r>
      <w:r w:rsidRPr="00972B15">
        <w:rPr>
          <w:rFonts w:ascii="Aptos" w:hAnsi="Aptos" w:cs="Times New Roman"/>
          <w:kern w:val="0"/>
        </w:rPr>
        <w:t>Krause, ‘Emancipation and Critique in Peace and Conflict Research’.</w:t>
      </w:r>
      <w:r>
        <w:fldChar w:fldCharType="end"/>
      </w:r>
    </w:p>
  </w:footnote>
  <w:footnote w:id="28">
    <w:p w14:paraId="60874E8F" w14:textId="77777777" w:rsidR="00241AC6" w:rsidRDefault="00241AC6" w:rsidP="00241AC6">
      <w:pPr>
        <w:pStyle w:val="FootnoteText"/>
      </w:pPr>
      <w:r>
        <w:rPr>
          <w:rStyle w:val="FootnoteReference"/>
        </w:rPr>
        <w:footnoteRef/>
      </w:r>
      <w:r>
        <w:t xml:space="preserve"> </w:t>
      </w:r>
      <w:r>
        <w:fldChar w:fldCharType="begin"/>
      </w:r>
      <w:r>
        <w:instrText xml:space="preserve"> ADDIN ZOTERO_ITEM CSL_CITATION {"citationID":"ibUBc8UM","properties":{"formattedCitation":"Based on Pinar Bilgins contribution in Williams, {\\i{}Security Studies}.","plainCitation":"Based on Pinar Bilgins contribution in Williams, Security Studies.","noteIndex":24},"citationItems":[{"id":9371,"uris":["http://zotero.org/users/758892/items/GGGSMTY6"],"itemData":{"id":9371,"type":"book","call-number":"JZ5588 .S4297 2018","edition":"Third edition","ISBN":"978-0-415-78489-4","number-of-pages":"665","publisher":"Routledge","source":"Library of Congress ISBN","title":"Security studies: an introduction","title-short":"Security studies","editor":[{"family":"Williams","given":"Paul D."}],"issued":{"date-parts":[["2018"]]}},"label":"page","prefix":"Based on Pinar Bilgins contribution in "}],"schema":"https://github.com/citation-style-language/schema/raw/master/csl-citation.json"} </w:instrText>
      </w:r>
      <w:r>
        <w:fldChar w:fldCharType="separate"/>
      </w:r>
      <w:r w:rsidRPr="00031B84">
        <w:rPr>
          <w:rFonts w:ascii="Aptos" w:hAnsi="Aptos" w:cs="Times New Roman"/>
          <w:kern w:val="0"/>
        </w:rPr>
        <w:t xml:space="preserve">Based on Pinar Bilgins contribution in Williams, </w:t>
      </w:r>
      <w:r w:rsidRPr="00031B84">
        <w:rPr>
          <w:rFonts w:ascii="Aptos" w:hAnsi="Aptos" w:cs="Times New Roman"/>
          <w:i/>
          <w:iCs/>
          <w:kern w:val="0"/>
        </w:rPr>
        <w:t>Security Studies</w:t>
      </w:r>
      <w:r w:rsidRPr="00031B84">
        <w:rPr>
          <w:rFonts w:ascii="Aptos" w:hAnsi="Aptos" w:cs="Times New Roman"/>
          <w:kern w:val="0"/>
        </w:rPr>
        <w:t>.</w:t>
      </w:r>
      <w:r>
        <w:fldChar w:fldCharType="end"/>
      </w:r>
    </w:p>
  </w:footnote>
  <w:footnote w:id="29">
    <w:p w14:paraId="61BF45F7" w14:textId="71AAD916" w:rsidR="00972B15" w:rsidRDefault="00972B15">
      <w:pPr>
        <w:pStyle w:val="FootnoteText"/>
      </w:pPr>
      <w:r>
        <w:rPr>
          <w:rStyle w:val="FootnoteReference"/>
        </w:rPr>
        <w:footnoteRef/>
      </w:r>
      <w:r>
        <w:t xml:space="preserve"> </w:t>
      </w:r>
      <w:r>
        <w:fldChar w:fldCharType="begin"/>
      </w:r>
      <w:r>
        <w:instrText xml:space="preserve"> ADDIN ZOTERO_ITEM CSL_CITATION {"citationID":"wJQ8jZbH","properties":{"formattedCitation":"Barkawi and Laffey, \\uc0\\u8216{}The Postcolonial Moment in Security Studies\\uc0\\u8217{}.","plainCitation":"Barkawi and Laffey, ‘The Postcolonial Moment in Security Studies’.","noteIndex":22},"citationItems":[{"id":13255,"uris":["http://zotero.org/users/758892/items/ZTF386TA"],"itemData":{"id":13255,"type":"article-journal","abstract":"In this article, we critique the Eurocentric character of security studies as it has developed since World War II. The taken-for-granted historical geographies that underpin security studies systematically misrepresent the role of the global South in security relations and lead to a distorted view of Europe and the West in world politics. Understanding security relations, past and present, requires acknowledging the mutual constitution of European and non-European worlds and their joint role in making history. The politics of Eurocentric security studies, those of the powerful, prevent adequate understanding of the nature or legitimacy of the armed resistance of the weak. Through analysis of the explanatory and political problems Eurocentrism generates, this article lays the groundwork for the development of a non-Eurocentric security studies.","container-title":"Review of International Studies","DOI":"10.1017/S0260210506007054","ISSN":"0260-2105, 1469-9044","issue":"02","language":"en","page":"329","source":"Crossref","title":"The postcolonial moment in security studies","volume":"32","author":[{"family":"Barkawi","given":"Tarak"},{"family":"Laffey","given":"Mark"}],"issued":{"date-parts":[["2006",4]]}}}],"schema":"https://github.com/citation-style-language/schema/raw/master/csl-citation.json"} </w:instrText>
      </w:r>
      <w:r>
        <w:fldChar w:fldCharType="separate"/>
      </w:r>
      <w:r w:rsidRPr="00972B15">
        <w:rPr>
          <w:rFonts w:ascii="Aptos" w:hAnsi="Aptos" w:cs="Times New Roman"/>
          <w:kern w:val="0"/>
        </w:rPr>
        <w:t>Barkawi and Laffey, ‘The Postcolonial Moment in Security Studies’.</w:t>
      </w:r>
      <w:r>
        <w:fldChar w:fldCharType="end"/>
      </w:r>
    </w:p>
  </w:footnote>
  <w:footnote w:id="30">
    <w:p w14:paraId="33CEDB81" w14:textId="5DB1E109" w:rsidR="00BD116D" w:rsidRDefault="00BD116D">
      <w:pPr>
        <w:pStyle w:val="FootnoteText"/>
      </w:pPr>
      <w:r>
        <w:rPr>
          <w:rStyle w:val="FootnoteReference"/>
        </w:rPr>
        <w:footnoteRef/>
      </w:r>
      <w:r>
        <w:t xml:space="preserve"> </w:t>
      </w:r>
      <w:r>
        <w:fldChar w:fldCharType="begin"/>
      </w:r>
      <w:r>
        <w:instrText xml:space="preserve"> ADDIN ZOTERO_ITEM CSL_CITATION {"citationID":"G1EyHLA8","properties":{"formattedCitation":"Sjoberg, \\uc0\\u8216{}Introduction to Security Studies\\uc0\\u8217{}.","plainCitation":"Sjoberg, ‘Introduction to Security Studies’.","noteIndex":24},"citationItems":[{"id":44022,"uris":["http://zotero.org/users/758892/items/AFSLNSFP"],"itemData":{"id":44022,"type":"article-journal","container-title":"Security Studies","DOI":"10.1080/09636410902900129","ISSN":"0963-6412","issue":"2","note":"publisher: Routledge\n_eprint: https://doi.org/10.1080/09636410902900129","page":"183-213","source":"Taylor and Francis+NEJM","title":"Introduction to Security Studies: Feminist Contributions","title-short":"Introduction to Security Studies","volume":"18","author":[{"family":"Sjoberg","given":"Laura"}],"issued":{"date-parts":[["2009",6,12]]}}}],"schema":"https://github.com/citation-style-language/schema/raw/master/csl-citation.json"} </w:instrText>
      </w:r>
      <w:r>
        <w:fldChar w:fldCharType="separate"/>
      </w:r>
      <w:r w:rsidRPr="00BD116D">
        <w:rPr>
          <w:rFonts w:ascii="Aptos" w:hAnsi="Aptos" w:cs="Times New Roman"/>
          <w:kern w:val="0"/>
        </w:rPr>
        <w:t>Sjoberg, ‘Introduction to Security Studies’.</w:t>
      </w:r>
      <w:r>
        <w:fldChar w:fldCharType="end"/>
      </w:r>
    </w:p>
  </w:footnote>
  <w:footnote w:id="31">
    <w:p w14:paraId="2BBF05A4" w14:textId="2E3CB054" w:rsidR="00AE7D17" w:rsidRDefault="00AE7D17">
      <w:pPr>
        <w:pStyle w:val="FootnoteText"/>
      </w:pPr>
      <w:r>
        <w:rPr>
          <w:rStyle w:val="FootnoteReference"/>
        </w:rPr>
        <w:footnoteRef/>
      </w:r>
      <w:r>
        <w:t xml:space="preserve"> </w:t>
      </w:r>
      <w:r>
        <w:fldChar w:fldCharType="begin"/>
      </w:r>
      <w:r>
        <w:instrText xml:space="preserve"> ADDIN ZOTERO_ITEM CSL_CITATION {"citationID":"TD2BseHW","properties":{"formattedCitation":"United Nations, {\\i{}A More Secure World}.","plainCitation":"United Nations, A More Secure World.","noteIndex":29},"citationItems":[{"id":86,"uris":["http://zotero.org/users/758892/items/ER85T4EG"],"itemData":{"id":86,"type":"book","call-number":"O.UN/I.2005.5, JZ5588.UNI","ISBN":"978-92-1-100958-3","language":"eng","number-of-pages":"xii+129","publisher":"United Nations","source":"solo.bodleian.ox.ac.uk","title":"A more secure world: our shared responsibility : report of the High-level Panel on Threats, Challenges, and Change.","title-short":"A more secure world","URL":"https://www.un.org/peacebuilding/sites/www.un.org.peacebuilding/files/documents/hlp_more_secure_world.pdf","author":[{"literal":"United Nations"}],"accessed":{"date-parts":[["2018",11,19]]},"issued":{"date-parts":[["2004"]]}}}],"schema":"https://github.com/citation-style-language/schema/raw/master/csl-citation.json"} </w:instrText>
      </w:r>
      <w:r>
        <w:fldChar w:fldCharType="separate"/>
      </w:r>
      <w:r w:rsidRPr="00AE7D17">
        <w:rPr>
          <w:rFonts w:ascii="Aptos" w:hAnsi="Aptos" w:cs="Times New Roman"/>
          <w:kern w:val="0"/>
        </w:rPr>
        <w:t xml:space="preserve">United Nations, </w:t>
      </w:r>
      <w:r w:rsidRPr="00AE7D17">
        <w:rPr>
          <w:rFonts w:ascii="Aptos" w:hAnsi="Aptos" w:cs="Times New Roman"/>
          <w:i/>
          <w:iCs/>
          <w:kern w:val="0"/>
        </w:rPr>
        <w:t>A More Secure World</w:t>
      </w:r>
      <w:r w:rsidRPr="00AE7D17">
        <w:rPr>
          <w:rFonts w:ascii="Aptos" w:hAnsi="Aptos" w:cs="Times New Roman"/>
          <w:kern w:val="0"/>
        </w:rPr>
        <w:t>.</w:t>
      </w:r>
      <w:r>
        <w:fldChar w:fldCharType="end"/>
      </w:r>
    </w:p>
  </w:footnote>
  <w:footnote w:id="32">
    <w:p w14:paraId="2E8E4D20" w14:textId="7FF2A32B" w:rsidR="00AE7D17" w:rsidRDefault="00AE7D17">
      <w:pPr>
        <w:pStyle w:val="FootnoteText"/>
      </w:pPr>
      <w:r>
        <w:rPr>
          <w:rStyle w:val="FootnoteReference"/>
        </w:rPr>
        <w:footnoteRef/>
      </w:r>
      <w:r>
        <w:t xml:space="preserve"> </w:t>
      </w:r>
      <w:r>
        <w:fldChar w:fldCharType="begin"/>
      </w:r>
      <w:r>
        <w:instrText xml:space="preserve"> ADDIN ZOTERO_ITEM CSL_CITATION {"citationID":"9R4zVJzM","properties":{"formattedCitation":"On the autonomous role of IOs as actors in international politics, see Barnett and Finnemore, \\uc0\\u8216{}The Politics, Power, and Pathologies of International Organizations\\uc0\\u8217{}.","plainCitation":"On the autonomous role of IOs as actors in international politics, see Barnett and Finnemore, ‘The Politics, Power, and Pathologies of International Organizations’.","noteIndex":29},"citationItems":[{"id":5241,"uris":["http://zotero.org/users/758892/items/T4V97MHS"],"itemData":{"id":5241,"type":"article-journal","abstract":"International Relations scholars have vigorous theories to explain why international organizations (IOs) are created, but they have paid little attention to IO behavior and whether IOs actually do what their creators intend. This blind spot flows logically from the economic theories of organization that have dominated the study of international institutions and regimes. To recover the agency and autonomy of IOs, we offer a constructivist approach. Building on Max Weber's well-known analysis of bureaucracy, we argue that IOs are much more powerful than even neoliberals have argued, and that the same characteristics of bureaucracy that make IOs powerful can also make them prone to dysfunctional behavior. IOs are powerful because, like all bureaucracies, they make roles, and, in so doing, they create social knowledge. IOs deploy this knowledge in ways that define shared international tasks, create new categories of actors, form new interests for actors, and transfer new models of political organization around the world. However, the same normative valuation on impersonal roles that defines bureaucracies and makes them powerful in modem life can also make them unresponsive to their environments, obsessed with their own roles at the expense of primary missions, and ultimately produce inefficient and self-defeating behavior. Sociological and constructivist approaches thus allow us to expand the research agenda beyond IO creation and to ask important questions about the consequences of global bureaucratization and the effects of IOs in world politics.","container-title":"International Organization","ISSN":"0020-8183","issue":"4","note":"ArticleType: research-article / Full publication date: Autumn, 1999 / Copyright © 1999 The MIT Press","page":"699-732","source":"JSTOR","title":"The Politics, Power, and Pathologies of International Organizations","volume":"53","author":[{"family":"Barnett","given":"Michael N."},{"family":"Finnemore","given":"Martha"}],"issued":{"date-parts":[["1999",10,1]]}},"label":"page","prefix":"On the autonomous role of IOs as actors in international politics, see "}],"schema":"https://github.com/citation-style-language/schema/raw/master/csl-citation.json"} </w:instrText>
      </w:r>
      <w:r>
        <w:fldChar w:fldCharType="separate"/>
      </w:r>
      <w:r w:rsidRPr="00AE7D17">
        <w:rPr>
          <w:rFonts w:ascii="Aptos" w:hAnsi="Aptos" w:cs="Times New Roman"/>
          <w:kern w:val="0"/>
        </w:rPr>
        <w:t>On the autonomous role of IOs as actors in international politics, see Barnett and Finnemore, ‘The Politics, Power, and Pathologies of International Organizations’.</w:t>
      </w:r>
      <w:r>
        <w:fldChar w:fldCharType="end"/>
      </w:r>
    </w:p>
  </w:footnote>
  <w:footnote w:id="33">
    <w:p w14:paraId="2B707B6D" w14:textId="61AA4C54" w:rsidR="00A45A90" w:rsidRDefault="00A45A90">
      <w:pPr>
        <w:pStyle w:val="FootnoteText"/>
      </w:pPr>
      <w:r>
        <w:rPr>
          <w:rStyle w:val="FootnoteReference"/>
        </w:rPr>
        <w:footnoteRef/>
      </w:r>
      <w:r>
        <w:t xml:space="preserve"> </w:t>
      </w:r>
      <w:r>
        <w:fldChar w:fldCharType="begin"/>
      </w:r>
      <w:r>
        <w:instrText xml:space="preserve"> ADDIN ZOTERO_ITEM CSL_CITATION {"citationID":"W36l6n7B","properties":{"formattedCitation":"Walter, Howard, and Fortna, \\uc0\\u8216{}The Extraordinary Relationship between Peacekeeping and Peace\\uc0\\u8217{}.","plainCitation":"Walter, Howard, and Fortna, ‘The Extraordinary Relationship between Peacekeeping and Peace’.","noteIndex":31},"citationItems":[{"id":37063,"uris":["http://zotero.org/users/758892/items/SRR7T6NZ"],"itemData":{"id":37063,"type":"article-journal","abstract":"Numerous empirical studies have examined the role of third-party peacekeeping in reducing violence around the world. Their results reveal an extraordinary relationship between peacekeepers and peace, notwithstanding a number of well-known problems. This review article has three goals. The first is to summarize the results of past empirical research to move the debate beyond the question of whether peacekeeping works to the more pressing questions of how, when and why it works. The second is to reveal the limitations of the current quantitative research in order to identify areas in which scholars can make big, new contributions to the field. The final goal is to propose a new research agenda that is heavily evaluative – one that informs policy makers about the specific practices, mission compositions, and mandates that work, and identifies the local, regional, and international conditions that amplify or diminish peacekeeping's effectiveness. This type of research could help reduce the costs of peacekeeping operations, eliminate some of the negative consequences of interventions and save even more lives.","container-title":"British journal of political science","DOI":"10.1017/S000712342000023X","ISSN":"0007-1234","issue":"4","language":"eng","note":"publisher-place: Cambridge, UK\npublisher: Cambridge University Press","page":"1705–1722","source":"birmingham-primo.com","title":"The Extraordinary Relationship between Peacekeeping and Peace","volume":"51","author":[{"family":"Walter","given":"Barbara F."},{"family":"Howard","given":"Lise Morje"},{"family":"Fortna","given":"V. Page"}],"issued":{"date-parts":[["2021"]]}}}],"schema":"https://github.com/citation-style-language/schema/raw/master/csl-citation.json"} </w:instrText>
      </w:r>
      <w:r>
        <w:fldChar w:fldCharType="separate"/>
      </w:r>
      <w:r w:rsidRPr="00A45A90">
        <w:rPr>
          <w:rFonts w:ascii="Aptos" w:hAnsi="Aptos" w:cs="Times New Roman"/>
          <w:kern w:val="0"/>
        </w:rPr>
        <w:t>Walter, Howard, and Fortna, ‘The Extraordinary Relationship between Peacekeeping and Peace’.</w:t>
      </w:r>
      <w:r>
        <w:fldChar w:fldCharType="end"/>
      </w:r>
    </w:p>
  </w:footnote>
  <w:footnote w:id="34">
    <w:p w14:paraId="34A4A302" w14:textId="77604CE1" w:rsidR="00A45A90" w:rsidRDefault="00A45A90">
      <w:pPr>
        <w:pStyle w:val="FootnoteText"/>
      </w:pPr>
      <w:r>
        <w:rPr>
          <w:rStyle w:val="FootnoteReference"/>
        </w:rPr>
        <w:footnoteRef/>
      </w:r>
      <w:r>
        <w:t xml:space="preserve"> </w:t>
      </w:r>
      <w:r>
        <w:fldChar w:fldCharType="begin"/>
      </w:r>
      <w:r>
        <w:instrText xml:space="preserve"> ADDIN ZOTERO_ITEM CSL_CITATION {"citationID":"NiHjJ76d","properties":{"formattedCitation":"Autesserre, \\uc0\\u8216{}The Crisis of Peacekeeping\\uc0\\u8217{}.","plainCitation":"Autesserre, ‘The Crisis of Peacekeeping’.","noteIndex":31},"citationItems":[{"id":13648,"uris":["http://zotero.org/users/758892/items/ZCY32STV"],"itemData":{"id":13648,"type":"article-journal","abstract":"In nearly 50 conflict zones around the world, some one and a half billion people live under the threat of violence. In many of these places, the primary enforcers of order are not police officers or government soldiers but the blue-helmeted troops of the United Nations. With more than 78,000 soldiers and 25,000 civilians scattered across 14 countries, UN peacekeepers make up the second-largest military force deployed abroad, after the U.S. military. The ambition of their task is immense. From Haiti to Mali, from Kosovo to South Sudan, UN peacekeepers are invited into war-torn countries and charged with maintaining peace and security. In most cases, that means nothing less than transforming states and societies. Peacekeepers set out to protect civilians, train police forces, disarm militias, monitor human rights abuses, organize elections, provide emergency relief, rebuild court systems, inspect prisons, and promote gender equality. And they attempt all of that in places where enduring chaos...","container-title":"Foreign Affairs","ISSN":"0015-7120","issue":"1","language":"eng","note":"publisher: Council on Foreign Relations, Inc","page":"101-116","source":"solo.bodleian.ox.ac.uk","title":"The Crisis of Peacekeeping: Why the UN Can't End Wars","title-short":"The Crisis of Peacekeeping","volume":"98","author":[{"family":"Autesserre","given":"Severine"}],"issued":{"date-parts":[["2019"]]}}}],"schema":"https://github.com/citation-style-language/schema/raw/master/csl-citation.json"} </w:instrText>
      </w:r>
      <w:r>
        <w:fldChar w:fldCharType="separate"/>
      </w:r>
      <w:r w:rsidRPr="00A45A90">
        <w:rPr>
          <w:rFonts w:ascii="Aptos" w:hAnsi="Aptos" w:cs="Times New Roman"/>
          <w:kern w:val="0"/>
        </w:rPr>
        <w:t>Autesserre, ‘The Crisis of Peacekeeping’.</w:t>
      </w:r>
      <w:r>
        <w:fldChar w:fldCharType="end"/>
      </w:r>
    </w:p>
  </w:footnote>
  <w:footnote w:id="35">
    <w:p w14:paraId="419D0A01" w14:textId="48D4250A" w:rsidR="00A45A90" w:rsidRDefault="00A45A90">
      <w:pPr>
        <w:pStyle w:val="FootnoteText"/>
      </w:pPr>
      <w:r>
        <w:rPr>
          <w:rStyle w:val="FootnoteReference"/>
        </w:rPr>
        <w:footnoteRef/>
      </w:r>
      <w:r>
        <w:t xml:space="preserve"> </w:t>
      </w:r>
      <w:r>
        <w:fldChar w:fldCharType="begin"/>
      </w:r>
      <w:r>
        <w:instrText xml:space="preserve"> ADDIN ZOTERO_ITEM CSL_CITATION {"citationID":"35LmM1fg","properties":{"formattedCitation":"Karim and Beardsley, \\uc0\\u8216{}Explaining Sexual Exploitation and Abuse in Peacekeeping Missions\\uc0\\u8217{}.","plainCitation":"Karim and Beardsley, ‘Explaining Sexual Exploitation and Abuse in Peacekeeping Missions’.","noteIndex":32},"citationItems":[{"id":8137,"uris":["http://zotero.org/users/758892/items/9QPTWKBC"],"itemData":{"id":8137,"type":"article-journal","abstract":"Sexual exploitation and abuse (SEA) is an endemic problem in UN peacekeeping missions. It is not only a gross human rights violation, but also threatens to challenge the legitimacy of the peacekeeping mission and undermines the promotion of gender equality in host countries. We examine if the composition of peacekeeping forces along two dimensions – the proportion of women and the records of gender (in)equality in the contributing countries – helps explain variation in SEA allegations. Analysis of mission-level information from 2009 to 2013 indicates that including higher proportions of both female peacekeepers and personnel from countries with better records of gender equality is associated with lower levels of SEA allegations reported against military contingents. We conclude that substantial reductions in SEA perpetrated by peacekeepers requires cultivation of a value for gender equality among all peacekeepers – improving the representation of women may help but still stops short of addressing the root of the problem.","container-title":"Journal of Peace Research","DOI":"10.1177/0022343315615506","ISSN":"0022-3433","issue":"1","journalAbbreviation":"Journal of Peace Research","language":"en","page":"100-115","source":"SAGE Journals","title":"Explaining sexual exploitation and abuse in peacekeeping missions: The role of female peacekeepers and gender equality in contributing countries","title-short":"Explaining sexual exploitation and abuse in peacekeeping missions","volume":"53","author":[{"family":"Karim","given":"Sabrina"},{"family":"Beardsley","given":"Kyle"}],"issued":{"date-parts":[["2016",1,1]]}}}],"schema":"https://github.com/citation-style-language/schema/raw/master/csl-citation.json"} </w:instrText>
      </w:r>
      <w:r>
        <w:fldChar w:fldCharType="separate"/>
      </w:r>
      <w:r w:rsidRPr="00A45A90">
        <w:rPr>
          <w:rFonts w:ascii="Aptos" w:hAnsi="Aptos" w:cs="Times New Roman"/>
          <w:kern w:val="0"/>
        </w:rPr>
        <w:t>Karim and Beardsley, ‘Explaining Sexual Exploitation and Abuse in Peacekeeping Missions’.</w:t>
      </w:r>
      <w:r>
        <w:fldChar w:fldCharType="end"/>
      </w:r>
    </w:p>
  </w:footnote>
  <w:footnote w:id="36">
    <w:p w14:paraId="7CC09112" w14:textId="701F0F2D" w:rsidR="000A46F2" w:rsidRPr="000A46F2" w:rsidRDefault="000A46F2">
      <w:pPr>
        <w:pStyle w:val="FootnoteText"/>
        <w:rPr>
          <w:lang w:val="en-US"/>
        </w:rPr>
      </w:pPr>
      <w:r>
        <w:rPr>
          <w:rStyle w:val="FootnoteReference"/>
        </w:rPr>
        <w:footnoteRef/>
      </w:r>
      <w:r>
        <w:t xml:space="preserve"> </w:t>
      </w:r>
      <w:hyperlink r:id="rId5" w:tgtFrame="_blank" w:history="1">
        <w:r w:rsidRPr="000A46F2">
          <w:rPr>
            <w:rStyle w:val="Hyperlink"/>
            <w:lang w:val="en-US"/>
          </w:rPr>
          <w:t>https://www.unwomen.org/en/docs/2000/10/un-security-council-resolution-1325</w:t>
        </w:r>
      </w:hyperlink>
      <w:r>
        <w:rPr>
          <w:lang w:val="en-US"/>
        </w:rPr>
        <w:t xml:space="preserve"> </w:t>
      </w:r>
    </w:p>
  </w:footnote>
  <w:footnote w:id="37">
    <w:p w14:paraId="32C0E038" w14:textId="73175FBC" w:rsidR="0061033D" w:rsidRDefault="0061033D">
      <w:pPr>
        <w:pStyle w:val="FootnoteText"/>
      </w:pPr>
      <w:r>
        <w:rPr>
          <w:rStyle w:val="FootnoteReference"/>
        </w:rPr>
        <w:footnoteRef/>
      </w:r>
      <w:r>
        <w:t xml:space="preserve"> </w:t>
      </w:r>
      <w:r>
        <w:fldChar w:fldCharType="begin"/>
      </w:r>
      <w:r>
        <w:instrText xml:space="preserve"> ADDIN ZOTERO_ITEM CSL_CITATION {"citationID":"iA54HMMI","properties":{"formattedCitation":"Davies and True, \\uc0\\u8216{}Women, Peace, and Security\\uc0\\u8217{}.","plainCitation":"Davies and True, ‘Women, Peace, and Security’.","noteIndex":20},"citationItems":[{"id":48444,"uris":["http://zotero.org/users/758892/items/2K2XR2JB"],"itemData":{"id":48444,"type":"chapter","abstract":"The Women, Peace, and Security agenda (WPS) stands at a juncture with significant potential to prevent conflicts, protect human rights, and promote recovery from conflict but inadequate progress and institutional resistance to meeting the commitments enshrined in UNSCR 1325. The chapter builds on feminist constructivist theories of normative change to put forward a pragmatist understanding of “women, peace, and security” as a “work in progress,” wherein advocates and scholars work together with activist states to advance principles of equal and lasting peace. We argue that WPS theory and practice in conflict, post-conflict, and peaceful situations is a dynamic, normative agenda, and iterative reform process committed to realizing a critical gender perspective on peace and security. Drawing on scholars, practitioners, and advocates’ experiences from the Global North and South working on the WPS thematic agenda and on women’s diverse practical experiences of promoting peace and inclusion, we defend a gender-sensitive and gender-inclusive perspective on peace and security.","container-title":"The Oxford Handbook of Women, Peace, and Security","ISBN":"978-0-19-063827-6","note":"DOI: 10.1093/oxfordhb/9780190638276.013.1","page":"0","publisher":"Oxford University Press","source":"Silverchair","title":"Women, Peace, and Security: A Transformative Agenda?","title-short":"Women, Peace, and Security","URL":"https://doi.org/10.1093/oxfordhb/9780190638276.013.1","author":[{"family":"Davies","given":"Sara E."},{"family":"True","given":"Jacqui"}],"editor":[{"family":"Davies","given":"Sara E."},{"family":"True","given":"Jacqui"}],"accessed":{"date-parts":[["2024",11,10]]},"issued":{"date-parts":[["2019",2,7]]}}}],"schema":"https://github.com/citation-style-language/schema/raw/master/csl-citation.json"} </w:instrText>
      </w:r>
      <w:r>
        <w:fldChar w:fldCharType="separate"/>
      </w:r>
      <w:r w:rsidRPr="0061033D">
        <w:rPr>
          <w:rFonts w:ascii="Aptos" w:hAnsi="Aptos" w:cs="Times New Roman"/>
          <w:kern w:val="0"/>
        </w:rPr>
        <w:t>Davies and True, ‘Women, Peace, and Security’.</w:t>
      </w:r>
      <w:r>
        <w:fldChar w:fldCharType="end"/>
      </w:r>
    </w:p>
  </w:footnote>
  <w:footnote w:id="38">
    <w:p w14:paraId="4176B82C" w14:textId="2B902120" w:rsidR="005F5B28" w:rsidRDefault="005F5B28">
      <w:pPr>
        <w:pStyle w:val="FootnoteText"/>
      </w:pPr>
      <w:r>
        <w:rPr>
          <w:rStyle w:val="FootnoteReference"/>
        </w:rPr>
        <w:footnoteRef/>
      </w:r>
      <w:r>
        <w:t xml:space="preserve"> </w:t>
      </w:r>
      <w:hyperlink r:id="rId6" w:tgtFrame="_self" w:history="1">
        <w:r w:rsidRPr="005F5B28">
          <w:rPr>
            <w:rStyle w:val="Hyperlink"/>
          </w:rPr>
          <w:t xml:space="preserve">https://wps.unwomen.org › pdf › </w:t>
        </w:r>
        <w:proofErr w:type="spellStart"/>
        <w:r w:rsidRPr="005F5B28">
          <w:rPr>
            <w:rStyle w:val="Hyperlink"/>
          </w:rPr>
          <w:t>en</w:t>
        </w:r>
        <w:proofErr w:type="spellEnd"/>
        <w:r w:rsidRPr="005F5B28">
          <w:rPr>
            <w:rStyle w:val="Hyperlink"/>
          </w:rPr>
          <w:t xml:space="preserve"> › GlobalStudy_EN_Web.pdf</w:t>
        </w:r>
      </w:hyperlink>
      <w:r>
        <w:t xml:space="preserve"> </w:t>
      </w:r>
    </w:p>
  </w:footnote>
  <w:footnote w:id="39">
    <w:p w14:paraId="286FF37D" w14:textId="2A7ED572" w:rsidR="00E7236A" w:rsidRDefault="00E7236A">
      <w:pPr>
        <w:pStyle w:val="FootnoteText"/>
      </w:pPr>
      <w:r>
        <w:rPr>
          <w:rStyle w:val="FootnoteReference"/>
        </w:rPr>
        <w:footnoteRef/>
      </w:r>
      <w:r>
        <w:t xml:space="preserve"> </w:t>
      </w:r>
      <w:hyperlink r:id="rId7" w:history="1">
        <w:r w:rsidRPr="00101E6A">
          <w:rPr>
            <w:rStyle w:val="Hyperlink"/>
          </w:rPr>
          <w:t>https://peacerep.org/2024/10/28/un-report-cites-peacerep-research-on-stagnation-of-gender-references-in-peace-agreements/</w:t>
        </w:r>
      </w:hyperlink>
      <w:r>
        <w:t xml:space="preserve"> </w:t>
      </w:r>
    </w:p>
  </w:footnote>
  <w:footnote w:id="40">
    <w:p w14:paraId="6863001F" w14:textId="623B94D4" w:rsidR="00A31980" w:rsidRDefault="00A31980">
      <w:pPr>
        <w:pStyle w:val="FootnoteText"/>
      </w:pPr>
      <w:r>
        <w:rPr>
          <w:rStyle w:val="FootnoteReference"/>
        </w:rPr>
        <w:footnoteRef/>
      </w:r>
      <w:r>
        <w:t xml:space="preserve"> The report can be found here: </w:t>
      </w:r>
      <w:hyperlink r:id="rId8" w:history="1">
        <w:r w:rsidRPr="00101E6A">
          <w:rPr>
            <w:rStyle w:val="Hyperlink"/>
          </w:rPr>
          <w:t>https://reliefweb.int/report/world/report-secretary-general-women-and-peace-and-security-s2024671-enarruzh</w:t>
        </w:r>
      </w:hyperlink>
      <w:r>
        <w:t xml:space="preserve"> </w:t>
      </w:r>
    </w:p>
  </w:footnote>
  <w:footnote w:id="41">
    <w:p w14:paraId="3F9A3C40" w14:textId="5B24523A" w:rsidR="0061033D" w:rsidRDefault="0061033D">
      <w:pPr>
        <w:pStyle w:val="FootnoteText"/>
      </w:pPr>
      <w:r>
        <w:rPr>
          <w:rStyle w:val="FootnoteReference"/>
        </w:rPr>
        <w:footnoteRef/>
      </w:r>
      <w:r>
        <w:t xml:space="preserve"> </w:t>
      </w:r>
      <w:r>
        <w:fldChar w:fldCharType="begin"/>
      </w:r>
      <w:r>
        <w:instrText xml:space="preserve"> ADDIN ZOTERO_ITEM CSL_CITATION {"citationID":"4evxQwVv","properties":{"formattedCitation":"Cohen and Karim, \\uc0\\u8216{}Does More Equality for Women Mean Less War?\\uc0\\u8217{}; Krause, Krause, and Br\\uc0\\u228{}nfors, \\uc0\\u8216{}Women\\uc0\\u8217{}s Participation in Peace Negotiations and the Durability of Peace\\uc0\\u8217{}; Hudson, \\uc0\\u8216{}What Sex Means for World Peace\\uc0\\u8217{}.","plainCitation":"Cohen and Karim, ‘Does More Equality for Women Mean Less War?’; Krause, Krause, and Bränfors, ‘Women’s Participation in Peace Negotiations and the Durability of Peace’; Hudson, ‘What Sex Means for World Peace’.","noteIndex":21},"citationItems":[{"id":38007,"uris":["http://zotero.org/users/758892/items/4Q6HNCGN"],"itemData":{"id":38007,"type":"article-journal","abstract":"Recent world events, such as the rise of hypermasculine authoritarian leaders, have shown the importance of both sex and gender for understanding international politics. However, quantitative researchers of conflict have long relegated the study of sex and gender inequality as a cause of war to a specialized group of scholars, despite overwhelming evidence that the connections are profound and consequential. In this review essay, we demonstrate the tremendous progress made in this field by analyzing a wave of research that examines the relationships between sex and gender inequality and war. We divide this work into theories that emphasize strategy versus those that analyze structures. In addition, we focus on two aspects of this research agenda—specifying mechanisms that link sex and gender inequality to war, and leveraging data at multiple levels of analysis—to outline fruitful pathways forward for the broader international security research agenda. Ultimately, we argue that the study of the nexus of sex and gender inequality and war will enliven theoretical debates, illuminate new hypotheses, and enrich the policy discourse with robust evidence.","container-title":"International Organization","DOI":"10.1017/S0020818321000333","ISSN":"0020-8183, 1531-5088","issue":"2","language":"en","note":"publisher: Cambridge University Press","page":"414-444","source":"Cambridge University Press","title":"Does More Equality for Women Mean Less War? Rethinking Sex and Gender Inequality and Political Violence","title-short":"Does More Equality for Women Mean Less War?","volume":"76","author":[{"family":"Cohen","given":"Dara Kay"},{"family":"Karim","given":"Sabrina M."}],"issued":{"date-parts":[["2022"]],"season":"ed"}}},{"id":10963,"uris":["http://zotero.org/users/758892/items/LRY37SEL"],"itemData":{"id":10963,"type":"article-journal","abstract":"There is an emerging consensus that women’s participation in peace negotiations contributes to the quality and durability of peace after civil war. However, to date, this proposition has remained empirically untested. Moreover, how women’s participation may contribute to durable peace has not been systematically explored. This article uses a mixed method design to examine this proposition. Our statistical analysis demonstrates a robust correlation between peace agreements signed by female delegates and durable peace. We further find that agreements signed by women show a significantly higher number of peace agreement provisions aimed at political reform, and higher implementation rates for provisions. We argue that linkages between women signatories and women civil society groups explain the observed positive impact of women’s direct participation in peace negotiations. Collaboration and knowledge building among diverse women groups contributes to better content of peace agreements and higher implementation rates of agreement provisions. We substantiate this argument with qualitative case study evidence and demonstrate how collaboration between female delegates and women civil society groups positively impacts peace processes. Our findings support the assumption that women’s participation in peace negotiations increases the durability and the quality of peace.","container-title":"International Interactions","DOI":"10.1080/03050629.2018.1492386","ISSN":"0305-0629, 1547-7444","issue":"6","journalAbbreviation":"International Interactions","language":"en","page":"985-1016","source":"DOI.org (Crossref)","title":"Women’s Participation in Peace Negotiations and the Durability of Peace","volume":"44","author":[{"family":"Krause","given":"Jana"},{"family":"Krause","given":"Werner"},{"family":"Bränfors","given":"Piia"}],"issued":{"date-parts":[["2018",11,2]]}}},{"id":48474,"uris":["http://zotero.org/users/758892/items/5FRZPWQ7"],"itemData":{"id":48474,"type":"post-weblog","abstract":"The evidence is clear: The best predictor of a state's stability is how its women are treated.","container-title":"Foreign Policy","language":"en-US","title":"What Sex Means for World Peace","URL":"https://foreignpolicy.com/2012/04/24/what-sex-means-for-world-peace/","author":[{"family":"Hudson","given":"Valerie M."}],"accessed":{"date-parts":[["2024",11,12]]},"issued":{"date-parts":[["2024",11,15]]}}}],"schema":"https://github.com/citation-style-language/schema/raw/master/csl-citation.json"} </w:instrText>
      </w:r>
      <w:r>
        <w:fldChar w:fldCharType="separate"/>
      </w:r>
      <w:r w:rsidRPr="0061033D">
        <w:rPr>
          <w:rFonts w:ascii="Aptos" w:hAnsi="Aptos" w:cs="Times New Roman"/>
          <w:kern w:val="0"/>
        </w:rPr>
        <w:t>Cohen and Karim, ‘Does More Equality for Women Mean Less War?’; Krause, Krause, and Bränfors, ‘Women’s Participation in Peace Negotiations and the Durability of Peace’; Hudson, ‘What Sex Means for World Peace’.</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DDE0" w14:textId="64832699" w:rsidR="00E86861" w:rsidRDefault="00E86861">
    <w:pPr>
      <w:pStyle w:val="Header"/>
      <w:jc w:val="center"/>
    </w:pPr>
  </w:p>
  <w:p w14:paraId="1A2A25C4" w14:textId="77777777" w:rsidR="00E86861" w:rsidRDefault="00E868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72170"/>
    <w:multiLevelType w:val="hybridMultilevel"/>
    <w:tmpl w:val="17740C46"/>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6181D"/>
    <w:multiLevelType w:val="hybridMultilevel"/>
    <w:tmpl w:val="676E6486"/>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052107"/>
    <w:multiLevelType w:val="multilevel"/>
    <w:tmpl w:val="8904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126440"/>
    <w:multiLevelType w:val="hybridMultilevel"/>
    <w:tmpl w:val="8E74824C"/>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906BE5"/>
    <w:multiLevelType w:val="multilevel"/>
    <w:tmpl w:val="081C7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2C189D"/>
    <w:multiLevelType w:val="multilevel"/>
    <w:tmpl w:val="E936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AC162C"/>
    <w:multiLevelType w:val="hybridMultilevel"/>
    <w:tmpl w:val="7D745148"/>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BD2FE0"/>
    <w:multiLevelType w:val="hybridMultilevel"/>
    <w:tmpl w:val="CB0076E6"/>
    <w:lvl w:ilvl="0" w:tplc="FF4A6E40">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7B7B36"/>
    <w:multiLevelType w:val="hybridMultilevel"/>
    <w:tmpl w:val="1908C68C"/>
    <w:lvl w:ilvl="0" w:tplc="FF4A6E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1D0CCC"/>
    <w:multiLevelType w:val="multilevel"/>
    <w:tmpl w:val="23087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70110D"/>
    <w:multiLevelType w:val="hybridMultilevel"/>
    <w:tmpl w:val="9776FC66"/>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930EAB"/>
    <w:multiLevelType w:val="multilevel"/>
    <w:tmpl w:val="CCF6B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AD6B22"/>
    <w:multiLevelType w:val="hybridMultilevel"/>
    <w:tmpl w:val="911C83D2"/>
    <w:lvl w:ilvl="0" w:tplc="A7782EFE">
      <w:start w:val="1"/>
      <w:numFmt w:val="bullet"/>
      <w:lvlText w:val="•"/>
      <w:lvlJc w:val="left"/>
      <w:pPr>
        <w:tabs>
          <w:tab w:val="num" w:pos="720"/>
        </w:tabs>
        <w:ind w:left="720" w:hanging="360"/>
      </w:pPr>
      <w:rPr>
        <w:rFonts w:ascii="Arial" w:hAnsi="Arial" w:hint="default"/>
      </w:rPr>
    </w:lvl>
    <w:lvl w:ilvl="1" w:tplc="353E0A6C" w:tentative="1">
      <w:start w:val="1"/>
      <w:numFmt w:val="bullet"/>
      <w:lvlText w:val="•"/>
      <w:lvlJc w:val="left"/>
      <w:pPr>
        <w:tabs>
          <w:tab w:val="num" w:pos="1440"/>
        </w:tabs>
        <w:ind w:left="1440" w:hanging="360"/>
      </w:pPr>
      <w:rPr>
        <w:rFonts w:ascii="Arial" w:hAnsi="Arial" w:hint="default"/>
      </w:rPr>
    </w:lvl>
    <w:lvl w:ilvl="2" w:tplc="20AEFA0E" w:tentative="1">
      <w:start w:val="1"/>
      <w:numFmt w:val="bullet"/>
      <w:lvlText w:val="•"/>
      <w:lvlJc w:val="left"/>
      <w:pPr>
        <w:tabs>
          <w:tab w:val="num" w:pos="2160"/>
        </w:tabs>
        <w:ind w:left="2160" w:hanging="360"/>
      </w:pPr>
      <w:rPr>
        <w:rFonts w:ascii="Arial" w:hAnsi="Arial" w:hint="default"/>
      </w:rPr>
    </w:lvl>
    <w:lvl w:ilvl="3" w:tplc="A614FB74" w:tentative="1">
      <w:start w:val="1"/>
      <w:numFmt w:val="bullet"/>
      <w:lvlText w:val="•"/>
      <w:lvlJc w:val="left"/>
      <w:pPr>
        <w:tabs>
          <w:tab w:val="num" w:pos="2880"/>
        </w:tabs>
        <w:ind w:left="2880" w:hanging="360"/>
      </w:pPr>
      <w:rPr>
        <w:rFonts w:ascii="Arial" w:hAnsi="Arial" w:hint="default"/>
      </w:rPr>
    </w:lvl>
    <w:lvl w:ilvl="4" w:tplc="1C18422A" w:tentative="1">
      <w:start w:val="1"/>
      <w:numFmt w:val="bullet"/>
      <w:lvlText w:val="•"/>
      <w:lvlJc w:val="left"/>
      <w:pPr>
        <w:tabs>
          <w:tab w:val="num" w:pos="3600"/>
        </w:tabs>
        <w:ind w:left="3600" w:hanging="360"/>
      </w:pPr>
      <w:rPr>
        <w:rFonts w:ascii="Arial" w:hAnsi="Arial" w:hint="default"/>
      </w:rPr>
    </w:lvl>
    <w:lvl w:ilvl="5" w:tplc="CF9E5DB4" w:tentative="1">
      <w:start w:val="1"/>
      <w:numFmt w:val="bullet"/>
      <w:lvlText w:val="•"/>
      <w:lvlJc w:val="left"/>
      <w:pPr>
        <w:tabs>
          <w:tab w:val="num" w:pos="4320"/>
        </w:tabs>
        <w:ind w:left="4320" w:hanging="360"/>
      </w:pPr>
      <w:rPr>
        <w:rFonts w:ascii="Arial" w:hAnsi="Arial" w:hint="default"/>
      </w:rPr>
    </w:lvl>
    <w:lvl w:ilvl="6" w:tplc="3412E3C0" w:tentative="1">
      <w:start w:val="1"/>
      <w:numFmt w:val="bullet"/>
      <w:lvlText w:val="•"/>
      <w:lvlJc w:val="left"/>
      <w:pPr>
        <w:tabs>
          <w:tab w:val="num" w:pos="5040"/>
        </w:tabs>
        <w:ind w:left="5040" w:hanging="360"/>
      </w:pPr>
      <w:rPr>
        <w:rFonts w:ascii="Arial" w:hAnsi="Arial" w:hint="default"/>
      </w:rPr>
    </w:lvl>
    <w:lvl w:ilvl="7" w:tplc="C1B0F3E0" w:tentative="1">
      <w:start w:val="1"/>
      <w:numFmt w:val="bullet"/>
      <w:lvlText w:val="•"/>
      <w:lvlJc w:val="left"/>
      <w:pPr>
        <w:tabs>
          <w:tab w:val="num" w:pos="5760"/>
        </w:tabs>
        <w:ind w:left="5760" w:hanging="360"/>
      </w:pPr>
      <w:rPr>
        <w:rFonts w:ascii="Arial" w:hAnsi="Arial" w:hint="default"/>
      </w:rPr>
    </w:lvl>
    <w:lvl w:ilvl="8" w:tplc="6F3858F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63C2E7F"/>
    <w:multiLevelType w:val="multilevel"/>
    <w:tmpl w:val="FB9A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C4220A"/>
    <w:multiLevelType w:val="hybridMultilevel"/>
    <w:tmpl w:val="12A6E8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DC4026"/>
    <w:multiLevelType w:val="hybridMultilevel"/>
    <w:tmpl w:val="75F8471A"/>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D6463D"/>
    <w:multiLevelType w:val="multilevel"/>
    <w:tmpl w:val="C9427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B92110"/>
    <w:multiLevelType w:val="multilevel"/>
    <w:tmpl w:val="4F389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BC315F"/>
    <w:multiLevelType w:val="multilevel"/>
    <w:tmpl w:val="A85EA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0F7D8F"/>
    <w:multiLevelType w:val="hybridMultilevel"/>
    <w:tmpl w:val="1362E1E8"/>
    <w:lvl w:ilvl="0" w:tplc="FF4A6E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5C5CFD"/>
    <w:multiLevelType w:val="multilevel"/>
    <w:tmpl w:val="3572D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700410"/>
    <w:multiLevelType w:val="hybridMultilevel"/>
    <w:tmpl w:val="24AE81B8"/>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14055F"/>
    <w:multiLevelType w:val="multilevel"/>
    <w:tmpl w:val="5792C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7D44D2"/>
    <w:multiLevelType w:val="hybridMultilevel"/>
    <w:tmpl w:val="C458E6C0"/>
    <w:lvl w:ilvl="0" w:tplc="FF4A6E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CE56FF"/>
    <w:multiLevelType w:val="hybridMultilevel"/>
    <w:tmpl w:val="FD9E2124"/>
    <w:lvl w:ilvl="0" w:tplc="FE4896BA">
      <w:start w:val="3"/>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E85EBE"/>
    <w:multiLevelType w:val="hybridMultilevel"/>
    <w:tmpl w:val="E6FE49A2"/>
    <w:lvl w:ilvl="0" w:tplc="FF4A6E40">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728C336E"/>
    <w:multiLevelType w:val="multilevel"/>
    <w:tmpl w:val="8D9E6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B66AA7"/>
    <w:multiLevelType w:val="multilevel"/>
    <w:tmpl w:val="A112A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3527A7"/>
    <w:multiLevelType w:val="multilevel"/>
    <w:tmpl w:val="D91EE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1056BC"/>
    <w:multiLevelType w:val="hybridMultilevel"/>
    <w:tmpl w:val="7D92BB94"/>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CC26BEC"/>
    <w:multiLevelType w:val="multilevel"/>
    <w:tmpl w:val="33DA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8662102">
    <w:abstractNumId w:val="19"/>
  </w:num>
  <w:num w:numId="2" w16cid:durableId="1689408575">
    <w:abstractNumId w:val="14"/>
  </w:num>
  <w:num w:numId="3" w16cid:durableId="2147158959">
    <w:abstractNumId w:val="13"/>
  </w:num>
  <w:num w:numId="4" w16cid:durableId="177013826">
    <w:abstractNumId w:val="18"/>
  </w:num>
  <w:num w:numId="5" w16cid:durableId="1094589407">
    <w:abstractNumId w:val="24"/>
  </w:num>
  <w:num w:numId="6" w16cid:durableId="466049768">
    <w:abstractNumId w:val="28"/>
  </w:num>
  <w:num w:numId="7" w16cid:durableId="2015526082">
    <w:abstractNumId w:val="0"/>
  </w:num>
  <w:num w:numId="8" w16cid:durableId="283001362">
    <w:abstractNumId w:val="16"/>
  </w:num>
  <w:num w:numId="9" w16cid:durableId="1539703215">
    <w:abstractNumId w:val="9"/>
  </w:num>
  <w:num w:numId="10" w16cid:durableId="161165462">
    <w:abstractNumId w:val="26"/>
  </w:num>
  <w:num w:numId="11" w16cid:durableId="759449151">
    <w:abstractNumId w:val="8"/>
  </w:num>
  <w:num w:numId="12" w16cid:durableId="1819567340">
    <w:abstractNumId w:val="29"/>
  </w:num>
  <w:num w:numId="13" w16cid:durableId="1203905749">
    <w:abstractNumId w:val="10"/>
  </w:num>
  <w:num w:numId="14" w16cid:durableId="993338196">
    <w:abstractNumId w:val="4"/>
  </w:num>
  <w:num w:numId="15" w16cid:durableId="1901551382">
    <w:abstractNumId w:val="27"/>
  </w:num>
  <w:num w:numId="16" w16cid:durableId="905799616">
    <w:abstractNumId w:val="1"/>
  </w:num>
  <w:num w:numId="17" w16cid:durableId="1933540780">
    <w:abstractNumId w:val="20"/>
  </w:num>
  <w:num w:numId="18" w16cid:durableId="762188414">
    <w:abstractNumId w:val="2"/>
  </w:num>
  <w:num w:numId="19" w16cid:durableId="152141539">
    <w:abstractNumId w:val="22"/>
  </w:num>
  <w:num w:numId="20" w16cid:durableId="1526017828">
    <w:abstractNumId w:val="30"/>
  </w:num>
  <w:num w:numId="21" w16cid:durableId="1695887102">
    <w:abstractNumId w:val="11"/>
  </w:num>
  <w:num w:numId="22" w16cid:durableId="2078237596">
    <w:abstractNumId w:val="17"/>
  </w:num>
  <w:num w:numId="23" w16cid:durableId="157157121">
    <w:abstractNumId w:val="23"/>
  </w:num>
  <w:num w:numId="24" w16cid:durableId="2127694412">
    <w:abstractNumId w:val="12"/>
  </w:num>
  <w:num w:numId="25" w16cid:durableId="460226250">
    <w:abstractNumId w:val="15"/>
  </w:num>
  <w:num w:numId="26" w16cid:durableId="763258068">
    <w:abstractNumId w:val="25"/>
  </w:num>
  <w:num w:numId="27" w16cid:durableId="1110467269">
    <w:abstractNumId w:val="21"/>
  </w:num>
  <w:num w:numId="28" w16cid:durableId="2119133781">
    <w:abstractNumId w:val="6"/>
  </w:num>
  <w:num w:numId="29" w16cid:durableId="1227380255">
    <w:abstractNumId w:val="7"/>
  </w:num>
  <w:num w:numId="30" w16cid:durableId="297759468">
    <w:abstractNumId w:val="3"/>
  </w:num>
  <w:num w:numId="31" w16cid:durableId="17432883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071"/>
    <w:rsid w:val="00002B8F"/>
    <w:rsid w:val="00004388"/>
    <w:rsid w:val="00011CAE"/>
    <w:rsid w:val="000129C3"/>
    <w:rsid w:val="00012D94"/>
    <w:rsid w:val="00021A0A"/>
    <w:rsid w:val="00031B84"/>
    <w:rsid w:val="00034765"/>
    <w:rsid w:val="000755EA"/>
    <w:rsid w:val="000926C0"/>
    <w:rsid w:val="0009626A"/>
    <w:rsid w:val="000A46F2"/>
    <w:rsid w:val="000B2AEF"/>
    <w:rsid w:val="000C08EB"/>
    <w:rsid w:val="000D2248"/>
    <w:rsid w:val="000D3F06"/>
    <w:rsid w:val="000F1A13"/>
    <w:rsid w:val="000F382B"/>
    <w:rsid w:val="000F59D7"/>
    <w:rsid w:val="00103CDA"/>
    <w:rsid w:val="001072BC"/>
    <w:rsid w:val="00113815"/>
    <w:rsid w:val="00120FE2"/>
    <w:rsid w:val="00141F4C"/>
    <w:rsid w:val="0016224E"/>
    <w:rsid w:val="00175DAC"/>
    <w:rsid w:val="00177342"/>
    <w:rsid w:val="00177A0C"/>
    <w:rsid w:val="00185660"/>
    <w:rsid w:val="001A6349"/>
    <w:rsid w:val="001E322C"/>
    <w:rsid w:val="001F5A8F"/>
    <w:rsid w:val="002019BE"/>
    <w:rsid w:val="00205B25"/>
    <w:rsid w:val="00207568"/>
    <w:rsid w:val="00220770"/>
    <w:rsid w:val="002221B3"/>
    <w:rsid w:val="0023581E"/>
    <w:rsid w:val="00241AC6"/>
    <w:rsid w:val="0024558A"/>
    <w:rsid w:val="002467E1"/>
    <w:rsid w:val="00252354"/>
    <w:rsid w:val="0027182D"/>
    <w:rsid w:val="00272C7C"/>
    <w:rsid w:val="002737E4"/>
    <w:rsid w:val="002966FC"/>
    <w:rsid w:val="002A5C8C"/>
    <w:rsid w:val="002A79AC"/>
    <w:rsid w:val="002B63B2"/>
    <w:rsid w:val="002C432B"/>
    <w:rsid w:val="002D2A21"/>
    <w:rsid w:val="002D75F9"/>
    <w:rsid w:val="003021AC"/>
    <w:rsid w:val="0030287A"/>
    <w:rsid w:val="00306754"/>
    <w:rsid w:val="00316B66"/>
    <w:rsid w:val="00326876"/>
    <w:rsid w:val="00336C4C"/>
    <w:rsid w:val="00336EAE"/>
    <w:rsid w:val="00341349"/>
    <w:rsid w:val="00343027"/>
    <w:rsid w:val="00371732"/>
    <w:rsid w:val="00384FD7"/>
    <w:rsid w:val="003B17AE"/>
    <w:rsid w:val="003C3C99"/>
    <w:rsid w:val="003E1FF5"/>
    <w:rsid w:val="003F69AB"/>
    <w:rsid w:val="004007CA"/>
    <w:rsid w:val="00403815"/>
    <w:rsid w:val="00411FC6"/>
    <w:rsid w:val="004224E4"/>
    <w:rsid w:val="00427D51"/>
    <w:rsid w:val="00435F1C"/>
    <w:rsid w:val="004440AB"/>
    <w:rsid w:val="00454B3E"/>
    <w:rsid w:val="00460EE5"/>
    <w:rsid w:val="00461542"/>
    <w:rsid w:val="00464EB5"/>
    <w:rsid w:val="0046678B"/>
    <w:rsid w:val="00472368"/>
    <w:rsid w:val="00486625"/>
    <w:rsid w:val="004932A0"/>
    <w:rsid w:val="004A594F"/>
    <w:rsid w:val="004B039F"/>
    <w:rsid w:val="004B3AB1"/>
    <w:rsid w:val="004C53FE"/>
    <w:rsid w:val="004D5280"/>
    <w:rsid w:val="004F0320"/>
    <w:rsid w:val="004F3736"/>
    <w:rsid w:val="005014E9"/>
    <w:rsid w:val="00507928"/>
    <w:rsid w:val="00522B1F"/>
    <w:rsid w:val="00524C40"/>
    <w:rsid w:val="0052644D"/>
    <w:rsid w:val="00527930"/>
    <w:rsid w:val="00545F4E"/>
    <w:rsid w:val="00546828"/>
    <w:rsid w:val="0057405E"/>
    <w:rsid w:val="00575BF6"/>
    <w:rsid w:val="00577A8A"/>
    <w:rsid w:val="00586CAC"/>
    <w:rsid w:val="00597117"/>
    <w:rsid w:val="005A260F"/>
    <w:rsid w:val="005B402D"/>
    <w:rsid w:val="005B7D98"/>
    <w:rsid w:val="005E3662"/>
    <w:rsid w:val="005F45D2"/>
    <w:rsid w:val="005F5B28"/>
    <w:rsid w:val="0061033D"/>
    <w:rsid w:val="0061772C"/>
    <w:rsid w:val="0062094F"/>
    <w:rsid w:val="0063627E"/>
    <w:rsid w:val="00647190"/>
    <w:rsid w:val="006548BB"/>
    <w:rsid w:val="00654F82"/>
    <w:rsid w:val="00670F6E"/>
    <w:rsid w:val="00671DCD"/>
    <w:rsid w:val="00672DB8"/>
    <w:rsid w:val="00672FF6"/>
    <w:rsid w:val="00673BC1"/>
    <w:rsid w:val="00692517"/>
    <w:rsid w:val="00693544"/>
    <w:rsid w:val="006B1A72"/>
    <w:rsid w:val="006B51A9"/>
    <w:rsid w:val="006B5CF2"/>
    <w:rsid w:val="006C2DF5"/>
    <w:rsid w:val="006D1601"/>
    <w:rsid w:val="006E0688"/>
    <w:rsid w:val="006E11BD"/>
    <w:rsid w:val="006F02E7"/>
    <w:rsid w:val="006F6066"/>
    <w:rsid w:val="00702D76"/>
    <w:rsid w:val="00707A62"/>
    <w:rsid w:val="0071769E"/>
    <w:rsid w:val="00720BB0"/>
    <w:rsid w:val="0072175B"/>
    <w:rsid w:val="00723CE5"/>
    <w:rsid w:val="0072438E"/>
    <w:rsid w:val="00734580"/>
    <w:rsid w:val="00734B24"/>
    <w:rsid w:val="00735A03"/>
    <w:rsid w:val="0077622A"/>
    <w:rsid w:val="0078160D"/>
    <w:rsid w:val="00782FA8"/>
    <w:rsid w:val="007875C4"/>
    <w:rsid w:val="007942B7"/>
    <w:rsid w:val="007B3313"/>
    <w:rsid w:val="007C614E"/>
    <w:rsid w:val="007D388B"/>
    <w:rsid w:val="007D4E7F"/>
    <w:rsid w:val="00812F6C"/>
    <w:rsid w:val="0081707D"/>
    <w:rsid w:val="008175CC"/>
    <w:rsid w:val="0081767D"/>
    <w:rsid w:val="00857598"/>
    <w:rsid w:val="00863720"/>
    <w:rsid w:val="00864FEE"/>
    <w:rsid w:val="00875355"/>
    <w:rsid w:val="008758A1"/>
    <w:rsid w:val="0088313C"/>
    <w:rsid w:val="00884D55"/>
    <w:rsid w:val="00890D2E"/>
    <w:rsid w:val="008977EB"/>
    <w:rsid w:val="008A2D45"/>
    <w:rsid w:val="008A7AFE"/>
    <w:rsid w:val="008C4C1B"/>
    <w:rsid w:val="008D5B35"/>
    <w:rsid w:val="009160B9"/>
    <w:rsid w:val="00920588"/>
    <w:rsid w:val="00920884"/>
    <w:rsid w:val="00922443"/>
    <w:rsid w:val="00926BA8"/>
    <w:rsid w:val="00932188"/>
    <w:rsid w:val="00933A19"/>
    <w:rsid w:val="00951A47"/>
    <w:rsid w:val="00963A6C"/>
    <w:rsid w:val="00972B15"/>
    <w:rsid w:val="0097571F"/>
    <w:rsid w:val="00977B64"/>
    <w:rsid w:val="00986D4A"/>
    <w:rsid w:val="00992B4D"/>
    <w:rsid w:val="00994A90"/>
    <w:rsid w:val="009A1A85"/>
    <w:rsid w:val="009A3307"/>
    <w:rsid w:val="009B6E29"/>
    <w:rsid w:val="009C1A71"/>
    <w:rsid w:val="009C1DB9"/>
    <w:rsid w:val="009D635D"/>
    <w:rsid w:val="009F14FE"/>
    <w:rsid w:val="009F7960"/>
    <w:rsid w:val="00A17BC0"/>
    <w:rsid w:val="00A17ED3"/>
    <w:rsid w:val="00A23758"/>
    <w:rsid w:val="00A27D71"/>
    <w:rsid w:val="00A31980"/>
    <w:rsid w:val="00A357E4"/>
    <w:rsid w:val="00A4154F"/>
    <w:rsid w:val="00A456AD"/>
    <w:rsid w:val="00A45A90"/>
    <w:rsid w:val="00A65AEE"/>
    <w:rsid w:val="00A67552"/>
    <w:rsid w:val="00A749AB"/>
    <w:rsid w:val="00A8312E"/>
    <w:rsid w:val="00A84D32"/>
    <w:rsid w:val="00AA19B1"/>
    <w:rsid w:val="00AA6E96"/>
    <w:rsid w:val="00AB0775"/>
    <w:rsid w:val="00AC1956"/>
    <w:rsid w:val="00AD531A"/>
    <w:rsid w:val="00AE08A2"/>
    <w:rsid w:val="00AE7C93"/>
    <w:rsid w:val="00AE7D17"/>
    <w:rsid w:val="00AF07CA"/>
    <w:rsid w:val="00B0039A"/>
    <w:rsid w:val="00B12A8F"/>
    <w:rsid w:val="00B21D20"/>
    <w:rsid w:val="00B26579"/>
    <w:rsid w:val="00B53F5A"/>
    <w:rsid w:val="00B7381A"/>
    <w:rsid w:val="00B848D4"/>
    <w:rsid w:val="00B93AE0"/>
    <w:rsid w:val="00BA603D"/>
    <w:rsid w:val="00BA61D1"/>
    <w:rsid w:val="00BC0C6A"/>
    <w:rsid w:val="00BD116D"/>
    <w:rsid w:val="00BF234B"/>
    <w:rsid w:val="00BF55C5"/>
    <w:rsid w:val="00C06FCB"/>
    <w:rsid w:val="00C14FDB"/>
    <w:rsid w:val="00C23C8D"/>
    <w:rsid w:val="00C407A5"/>
    <w:rsid w:val="00C45913"/>
    <w:rsid w:val="00C6096B"/>
    <w:rsid w:val="00C9678C"/>
    <w:rsid w:val="00C9778C"/>
    <w:rsid w:val="00C97EB9"/>
    <w:rsid w:val="00CA2D0B"/>
    <w:rsid w:val="00CB0FCC"/>
    <w:rsid w:val="00CD23F5"/>
    <w:rsid w:val="00CF10FE"/>
    <w:rsid w:val="00CF2B89"/>
    <w:rsid w:val="00D057FC"/>
    <w:rsid w:val="00D122AA"/>
    <w:rsid w:val="00D147E3"/>
    <w:rsid w:val="00D15979"/>
    <w:rsid w:val="00D2748A"/>
    <w:rsid w:val="00D3077D"/>
    <w:rsid w:val="00D32F88"/>
    <w:rsid w:val="00D476B0"/>
    <w:rsid w:val="00D56A87"/>
    <w:rsid w:val="00D56EC5"/>
    <w:rsid w:val="00D61447"/>
    <w:rsid w:val="00D61627"/>
    <w:rsid w:val="00D6437D"/>
    <w:rsid w:val="00D64E50"/>
    <w:rsid w:val="00D8319B"/>
    <w:rsid w:val="00D84CCF"/>
    <w:rsid w:val="00D85C87"/>
    <w:rsid w:val="00D93886"/>
    <w:rsid w:val="00D9581C"/>
    <w:rsid w:val="00DA240E"/>
    <w:rsid w:val="00DA42B1"/>
    <w:rsid w:val="00DC0A83"/>
    <w:rsid w:val="00DD04EA"/>
    <w:rsid w:val="00DE3C4B"/>
    <w:rsid w:val="00DE5D0D"/>
    <w:rsid w:val="00DE7379"/>
    <w:rsid w:val="00DF02AC"/>
    <w:rsid w:val="00E049B6"/>
    <w:rsid w:val="00E07A32"/>
    <w:rsid w:val="00E11097"/>
    <w:rsid w:val="00E356DE"/>
    <w:rsid w:val="00E4460C"/>
    <w:rsid w:val="00E55B0C"/>
    <w:rsid w:val="00E57A85"/>
    <w:rsid w:val="00E60DC7"/>
    <w:rsid w:val="00E7236A"/>
    <w:rsid w:val="00E76011"/>
    <w:rsid w:val="00E82805"/>
    <w:rsid w:val="00E86861"/>
    <w:rsid w:val="00E86DC5"/>
    <w:rsid w:val="00E92315"/>
    <w:rsid w:val="00E953F2"/>
    <w:rsid w:val="00EA3525"/>
    <w:rsid w:val="00EA3DE6"/>
    <w:rsid w:val="00EB1E8A"/>
    <w:rsid w:val="00EB4DBA"/>
    <w:rsid w:val="00EC06FF"/>
    <w:rsid w:val="00ED3C0C"/>
    <w:rsid w:val="00F013F3"/>
    <w:rsid w:val="00F14D70"/>
    <w:rsid w:val="00F348B7"/>
    <w:rsid w:val="00F408A7"/>
    <w:rsid w:val="00F40A7A"/>
    <w:rsid w:val="00F429F6"/>
    <w:rsid w:val="00F73247"/>
    <w:rsid w:val="00F859C4"/>
    <w:rsid w:val="00F87071"/>
    <w:rsid w:val="00F925C7"/>
    <w:rsid w:val="00FC3388"/>
    <w:rsid w:val="00FC58CC"/>
    <w:rsid w:val="00FE3039"/>
    <w:rsid w:val="00FF6D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BAF6A"/>
  <w15:chartTrackingRefBased/>
  <w15:docId w15:val="{009CCD96-E6E8-4224-BA09-3FFFBB324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70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870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870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70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70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70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70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70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70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70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870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870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70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70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70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70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70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7071"/>
    <w:rPr>
      <w:rFonts w:eastAsiaTheme="majorEastAsia" w:cstheme="majorBidi"/>
      <w:color w:val="272727" w:themeColor="text1" w:themeTint="D8"/>
    </w:rPr>
  </w:style>
  <w:style w:type="paragraph" w:styleId="Title">
    <w:name w:val="Title"/>
    <w:basedOn w:val="Normal"/>
    <w:next w:val="Normal"/>
    <w:link w:val="TitleChar"/>
    <w:uiPriority w:val="10"/>
    <w:qFormat/>
    <w:rsid w:val="00F870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70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70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70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7071"/>
    <w:pPr>
      <w:spacing w:before="160"/>
      <w:jc w:val="center"/>
    </w:pPr>
    <w:rPr>
      <w:i/>
      <w:iCs/>
      <w:color w:val="404040" w:themeColor="text1" w:themeTint="BF"/>
    </w:rPr>
  </w:style>
  <w:style w:type="character" w:customStyle="1" w:styleId="QuoteChar">
    <w:name w:val="Quote Char"/>
    <w:basedOn w:val="DefaultParagraphFont"/>
    <w:link w:val="Quote"/>
    <w:uiPriority w:val="29"/>
    <w:rsid w:val="00F87071"/>
    <w:rPr>
      <w:i/>
      <w:iCs/>
      <w:color w:val="404040" w:themeColor="text1" w:themeTint="BF"/>
    </w:rPr>
  </w:style>
  <w:style w:type="paragraph" w:styleId="ListParagraph">
    <w:name w:val="List Paragraph"/>
    <w:basedOn w:val="Normal"/>
    <w:uiPriority w:val="34"/>
    <w:qFormat/>
    <w:rsid w:val="00F87071"/>
    <w:pPr>
      <w:ind w:left="720"/>
      <w:contextualSpacing/>
    </w:pPr>
  </w:style>
  <w:style w:type="character" w:styleId="IntenseEmphasis">
    <w:name w:val="Intense Emphasis"/>
    <w:basedOn w:val="DefaultParagraphFont"/>
    <w:uiPriority w:val="21"/>
    <w:qFormat/>
    <w:rsid w:val="00F87071"/>
    <w:rPr>
      <w:i/>
      <w:iCs/>
      <w:color w:val="0F4761" w:themeColor="accent1" w:themeShade="BF"/>
    </w:rPr>
  </w:style>
  <w:style w:type="paragraph" w:styleId="IntenseQuote">
    <w:name w:val="Intense Quote"/>
    <w:basedOn w:val="Normal"/>
    <w:next w:val="Normal"/>
    <w:link w:val="IntenseQuoteChar"/>
    <w:uiPriority w:val="30"/>
    <w:qFormat/>
    <w:rsid w:val="00F870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7071"/>
    <w:rPr>
      <w:i/>
      <w:iCs/>
      <w:color w:val="0F4761" w:themeColor="accent1" w:themeShade="BF"/>
    </w:rPr>
  </w:style>
  <w:style w:type="character" w:styleId="IntenseReference">
    <w:name w:val="Intense Reference"/>
    <w:basedOn w:val="DefaultParagraphFont"/>
    <w:uiPriority w:val="32"/>
    <w:qFormat/>
    <w:rsid w:val="00F87071"/>
    <w:rPr>
      <w:b/>
      <w:bCs/>
      <w:smallCaps/>
      <w:color w:val="0F4761" w:themeColor="accent1" w:themeShade="BF"/>
      <w:spacing w:val="5"/>
    </w:rPr>
  </w:style>
  <w:style w:type="character" w:styleId="Hyperlink">
    <w:name w:val="Hyperlink"/>
    <w:basedOn w:val="DefaultParagraphFont"/>
    <w:uiPriority w:val="99"/>
    <w:unhideWhenUsed/>
    <w:rsid w:val="00BC0C6A"/>
    <w:rPr>
      <w:color w:val="467886" w:themeColor="hyperlink"/>
      <w:u w:val="single"/>
    </w:rPr>
  </w:style>
  <w:style w:type="paragraph" w:styleId="FootnoteText">
    <w:name w:val="footnote text"/>
    <w:basedOn w:val="Normal"/>
    <w:link w:val="FootnoteTextChar"/>
    <w:uiPriority w:val="99"/>
    <w:unhideWhenUsed/>
    <w:rsid w:val="00BC0C6A"/>
    <w:pPr>
      <w:spacing w:after="0" w:line="240" w:lineRule="auto"/>
    </w:pPr>
    <w:rPr>
      <w:sz w:val="20"/>
      <w:szCs w:val="20"/>
    </w:rPr>
  </w:style>
  <w:style w:type="character" w:customStyle="1" w:styleId="FootnoteTextChar">
    <w:name w:val="Footnote Text Char"/>
    <w:basedOn w:val="DefaultParagraphFont"/>
    <w:link w:val="FootnoteText"/>
    <w:uiPriority w:val="99"/>
    <w:rsid w:val="00BC0C6A"/>
    <w:rPr>
      <w:sz w:val="20"/>
      <w:szCs w:val="20"/>
    </w:rPr>
  </w:style>
  <w:style w:type="character" w:styleId="FootnoteReference">
    <w:name w:val="footnote reference"/>
    <w:basedOn w:val="DefaultParagraphFont"/>
    <w:uiPriority w:val="99"/>
    <w:unhideWhenUsed/>
    <w:rsid w:val="00BC0C6A"/>
    <w:rPr>
      <w:vertAlign w:val="superscript"/>
    </w:rPr>
  </w:style>
  <w:style w:type="paragraph" w:styleId="Caption">
    <w:name w:val="caption"/>
    <w:basedOn w:val="Normal"/>
    <w:next w:val="Normal"/>
    <w:uiPriority w:val="35"/>
    <w:unhideWhenUsed/>
    <w:qFormat/>
    <w:rsid w:val="007942B7"/>
    <w:pPr>
      <w:spacing w:after="200" w:line="240" w:lineRule="auto"/>
    </w:pPr>
    <w:rPr>
      <w:i/>
      <w:iCs/>
      <w:color w:val="0E2841" w:themeColor="text2"/>
      <w:sz w:val="18"/>
      <w:szCs w:val="18"/>
    </w:rPr>
  </w:style>
  <w:style w:type="character" w:styleId="UnresolvedMention">
    <w:name w:val="Unresolved Mention"/>
    <w:basedOn w:val="DefaultParagraphFont"/>
    <w:uiPriority w:val="99"/>
    <w:semiHidden/>
    <w:unhideWhenUsed/>
    <w:rsid w:val="00AE7C93"/>
    <w:rPr>
      <w:color w:val="605E5C"/>
      <w:shd w:val="clear" w:color="auto" w:fill="E1DFDD"/>
    </w:rPr>
  </w:style>
  <w:style w:type="paragraph" w:styleId="Header">
    <w:name w:val="header"/>
    <w:basedOn w:val="Normal"/>
    <w:link w:val="HeaderChar"/>
    <w:uiPriority w:val="99"/>
    <w:unhideWhenUsed/>
    <w:rsid w:val="00E868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6861"/>
  </w:style>
  <w:style w:type="paragraph" w:styleId="Footer">
    <w:name w:val="footer"/>
    <w:basedOn w:val="Normal"/>
    <w:link w:val="FooterChar"/>
    <w:uiPriority w:val="99"/>
    <w:unhideWhenUsed/>
    <w:rsid w:val="00E868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6861"/>
  </w:style>
  <w:style w:type="character" w:styleId="EndnoteReference">
    <w:name w:val="endnote reference"/>
    <w:basedOn w:val="DefaultParagraphFont"/>
    <w:uiPriority w:val="99"/>
    <w:semiHidden/>
    <w:unhideWhenUsed/>
    <w:rsid w:val="000B2AEF"/>
    <w:rPr>
      <w:vertAlign w:val="superscript"/>
    </w:rPr>
  </w:style>
  <w:style w:type="paragraph" w:styleId="Bibliography">
    <w:name w:val="Bibliography"/>
    <w:basedOn w:val="Normal"/>
    <w:next w:val="Normal"/>
    <w:uiPriority w:val="37"/>
    <w:unhideWhenUsed/>
    <w:rsid w:val="00A749AB"/>
    <w:pPr>
      <w:spacing w:after="0" w:line="240" w:lineRule="auto"/>
      <w:ind w:left="720" w:hanging="720"/>
    </w:pPr>
  </w:style>
  <w:style w:type="paragraph" w:styleId="NormalWeb">
    <w:name w:val="Normal (Web)"/>
    <w:basedOn w:val="Normal"/>
    <w:uiPriority w:val="99"/>
    <w:semiHidden/>
    <w:unhideWhenUsed/>
    <w:rsid w:val="006E11B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854545">
      <w:bodyDiv w:val="1"/>
      <w:marLeft w:val="0"/>
      <w:marRight w:val="0"/>
      <w:marTop w:val="0"/>
      <w:marBottom w:val="0"/>
      <w:divBdr>
        <w:top w:val="none" w:sz="0" w:space="0" w:color="auto"/>
        <w:left w:val="none" w:sz="0" w:space="0" w:color="auto"/>
        <w:bottom w:val="none" w:sz="0" w:space="0" w:color="auto"/>
        <w:right w:val="none" w:sz="0" w:space="0" w:color="auto"/>
      </w:divBdr>
      <w:divsChild>
        <w:div w:id="917791327">
          <w:marLeft w:val="0"/>
          <w:marRight w:val="0"/>
          <w:marTop w:val="0"/>
          <w:marBottom w:val="0"/>
          <w:divBdr>
            <w:top w:val="none" w:sz="0" w:space="0" w:color="auto"/>
            <w:left w:val="none" w:sz="0" w:space="0" w:color="auto"/>
            <w:bottom w:val="none" w:sz="0" w:space="0" w:color="auto"/>
            <w:right w:val="none" w:sz="0" w:space="0" w:color="auto"/>
          </w:divBdr>
        </w:div>
      </w:divsChild>
    </w:div>
    <w:div w:id="40517962">
      <w:bodyDiv w:val="1"/>
      <w:marLeft w:val="0"/>
      <w:marRight w:val="0"/>
      <w:marTop w:val="0"/>
      <w:marBottom w:val="0"/>
      <w:divBdr>
        <w:top w:val="none" w:sz="0" w:space="0" w:color="auto"/>
        <w:left w:val="none" w:sz="0" w:space="0" w:color="auto"/>
        <w:bottom w:val="none" w:sz="0" w:space="0" w:color="auto"/>
        <w:right w:val="none" w:sz="0" w:space="0" w:color="auto"/>
      </w:divBdr>
      <w:divsChild>
        <w:div w:id="1017459529">
          <w:marLeft w:val="0"/>
          <w:marRight w:val="0"/>
          <w:marTop w:val="0"/>
          <w:marBottom w:val="0"/>
          <w:divBdr>
            <w:top w:val="none" w:sz="0" w:space="0" w:color="auto"/>
            <w:left w:val="none" w:sz="0" w:space="0" w:color="auto"/>
            <w:bottom w:val="none" w:sz="0" w:space="0" w:color="auto"/>
            <w:right w:val="none" w:sz="0" w:space="0" w:color="auto"/>
          </w:divBdr>
        </w:div>
      </w:divsChild>
    </w:div>
    <w:div w:id="51122778">
      <w:bodyDiv w:val="1"/>
      <w:marLeft w:val="0"/>
      <w:marRight w:val="0"/>
      <w:marTop w:val="0"/>
      <w:marBottom w:val="0"/>
      <w:divBdr>
        <w:top w:val="none" w:sz="0" w:space="0" w:color="auto"/>
        <w:left w:val="none" w:sz="0" w:space="0" w:color="auto"/>
        <w:bottom w:val="none" w:sz="0" w:space="0" w:color="auto"/>
        <w:right w:val="none" w:sz="0" w:space="0" w:color="auto"/>
      </w:divBdr>
      <w:divsChild>
        <w:div w:id="828132567">
          <w:marLeft w:val="0"/>
          <w:marRight w:val="0"/>
          <w:marTop w:val="0"/>
          <w:marBottom w:val="0"/>
          <w:divBdr>
            <w:top w:val="none" w:sz="0" w:space="0" w:color="auto"/>
            <w:left w:val="none" w:sz="0" w:space="0" w:color="auto"/>
            <w:bottom w:val="none" w:sz="0" w:space="0" w:color="auto"/>
            <w:right w:val="none" w:sz="0" w:space="0" w:color="auto"/>
          </w:divBdr>
        </w:div>
      </w:divsChild>
    </w:div>
    <w:div w:id="51972827">
      <w:bodyDiv w:val="1"/>
      <w:marLeft w:val="0"/>
      <w:marRight w:val="0"/>
      <w:marTop w:val="0"/>
      <w:marBottom w:val="0"/>
      <w:divBdr>
        <w:top w:val="none" w:sz="0" w:space="0" w:color="auto"/>
        <w:left w:val="none" w:sz="0" w:space="0" w:color="auto"/>
        <w:bottom w:val="none" w:sz="0" w:space="0" w:color="auto"/>
        <w:right w:val="none" w:sz="0" w:space="0" w:color="auto"/>
      </w:divBdr>
      <w:divsChild>
        <w:div w:id="1063604326">
          <w:marLeft w:val="480"/>
          <w:marRight w:val="0"/>
          <w:marTop w:val="0"/>
          <w:marBottom w:val="0"/>
          <w:divBdr>
            <w:top w:val="none" w:sz="0" w:space="0" w:color="auto"/>
            <w:left w:val="none" w:sz="0" w:space="0" w:color="auto"/>
            <w:bottom w:val="none" w:sz="0" w:space="0" w:color="auto"/>
            <w:right w:val="none" w:sz="0" w:space="0" w:color="auto"/>
          </w:divBdr>
          <w:divsChild>
            <w:div w:id="89327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88915">
      <w:bodyDiv w:val="1"/>
      <w:marLeft w:val="0"/>
      <w:marRight w:val="0"/>
      <w:marTop w:val="0"/>
      <w:marBottom w:val="0"/>
      <w:divBdr>
        <w:top w:val="none" w:sz="0" w:space="0" w:color="auto"/>
        <w:left w:val="none" w:sz="0" w:space="0" w:color="auto"/>
        <w:bottom w:val="none" w:sz="0" w:space="0" w:color="auto"/>
        <w:right w:val="none" w:sz="0" w:space="0" w:color="auto"/>
      </w:divBdr>
      <w:divsChild>
        <w:div w:id="2116366753">
          <w:marLeft w:val="0"/>
          <w:marRight w:val="0"/>
          <w:marTop w:val="0"/>
          <w:marBottom w:val="0"/>
          <w:divBdr>
            <w:top w:val="none" w:sz="0" w:space="0" w:color="auto"/>
            <w:left w:val="none" w:sz="0" w:space="0" w:color="auto"/>
            <w:bottom w:val="none" w:sz="0" w:space="0" w:color="auto"/>
            <w:right w:val="none" w:sz="0" w:space="0" w:color="auto"/>
          </w:divBdr>
        </w:div>
      </w:divsChild>
    </w:div>
    <w:div w:id="112989766">
      <w:bodyDiv w:val="1"/>
      <w:marLeft w:val="0"/>
      <w:marRight w:val="0"/>
      <w:marTop w:val="0"/>
      <w:marBottom w:val="0"/>
      <w:divBdr>
        <w:top w:val="none" w:sz="0" w:space="0" w:color="auto"/>
        <w:left w:val="none" w:sz="0" w:space="0" w:color="auto"/>
        <w:bottom w:val="none" w:sz="0" w:space="0" w:color="auto"/>
        <w:right w:val="none" w:sz="0" w:space="0" w:color="auto"/>
      </w:divBdr>
      <w:divsChild>
        <w:div w:id="1714428116">
          <w:marLeft w:val="0"/>
          <w:marRight w:val="0"/>
          <w:marTop w:val="0"/>
          <w:marBottom w:val="0"/>
          <w:divBdr>
            <w:top w:val="none" w:sz="0" w:space="0" w:color="auto"/>
            <w:left w:val="none" w:sz="0" w:space="0" w:color="auto"/>
            <w:bottom w:val="none" w:sz="0" w:space="0" w:color="auto"/>
            <w:right w:val="none" w:sz="0" w:space="0" w:color="auto"/>
          </w:divBdr>
          <w:divsChild>
            <w:div w:id="32489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05767">
      <w:bodyDiv w:val="1"/>
      <w:marLeft w:val="0"/>
      <w:marRight w:val="0"/>
      <w:marTop w:val="0"/>
      <w:marBottom w:val="0"/>
      <w:divBdr>
        <w:top w:val="none" w:sz="0" w:space="0" w:color="auto"/>
        <w:left w:val="none" w:sz="0" w:space="0" w:color="auto"/>
        <w:bottom w:val="none" w:sz="0" w:space="0" w:color="auto"/>
        <w:right w:val="none" w:sz="0" w:space="0" w:color="auto"/>
      </w:divBdr>
      <w:divsChild>
        <w:div w:id="913318551">
          <w:marLeft w:val="0"/>
          <w:marRight w:val="0"/>
          <w:marTop w:val="0"/>
          <w:marBottom w:val="0"/>
          <w:divBdr>
            <w:top w:val="none" w:sz="0" w:space="0" w:color="auto"/>
            <w:left w:val="none" w:sz="0" w:space="0" w:color="auto"/>
            <w:bottom w:val="none" w:sz="0" w:space="0" w:color="auto"/>
            <w:right w:val="none" w:sz="0" w:space="0" w:color="auto"/>
          </w:divBdr>
        </w:div>
      </w:divsChild>
    </w:div>
    <w:div w:id="247421926">
      <w:bodyDiv w:val="1"/>
      <w:marLeft w:val="0"/>
      <w:marRight w:val="0"/>
      <w:marTop w:val="0"/>
      <w:marBottom w:val="0"/>
      <w:divBdr>
        <w:top w:val="none" w:sz="0" w:space="0" w:color="auto"/>
        <w:left w:val="none" w:sz="0" w:space="0" w:color="auto"/>
        <w:bottom w:val="none" w:sz="0" w:space="0" w:color="auto"/>
        <w:right w:val="none" w:sz="0" w:space="0" w:color="auto"/>
      </w:divBdr>
      <w:divsChild>
        <w:div w:id="681323690">
          <w:marLeft w:val="0"/>
          <w:marRight w:val="0"/>
          <w:marTop w:val="0"/>
          <w:marBottom w:val="0"/>
          <w:divBdr>
            <w:top w:val="none" w:sz="0" w:space="0" w:color="auto"/>
            <w:left w:val="none" w:sz="0" w:space="0" w:color="auto"/>
            <w:bottom w:val="none" w:sz="0" w:space="0" w:color="auto"/>
            <w:right w:val="none" w:sz="0" w:space="0" w:color="auto"/>
          </w:divBdr>
        </w:div>
      </w:divsChild>
    </w:div>
    <w:div w:id="301732367">
      <w:bodyDiv w:val="1"/>
      <w:marLeft w:val="0"/>
      <w:marRight w:val="0"/>
      <w:marTop w:val="0"/>
      <w:marBottom w:val="0"/>
      <w:divBdr>
        <w:top w:val="none" w:sz="0" w:space="0" w:color="auto"/>
        <w:left w:val="none" w:sz="0" w:space="0" w:color="auto"/>
        <w:bottom w:val="none" w:sz="0" w:space="0" w:color="auto"/>
        <w:right w:val="none" w:sz="0" w:space="0" w:color="auto"/>
      </w:divBdr>
      <w:divsChild>
        <w:div w:id="983002624">
          <w:marLeft w:val="0"/>
          <w:marRight w:val="0"/>
          <w:marTop w:val="0"/>
          <w:marBottom w:val="0"/>
          <w:divBdr>
            <w:top w:val="none" w:sz="0" w:space="0" w:color="auto"/>
            <w:left w:val="none" w:sz="0" w:space="0" w:color="auto"/>
            <w:bottom w:val="none" w:sz="0" w:space="0" w:color="auto"/>
            <w:right w:val="none" w:sz="0" w:space="0" w:color="auto"/>
          </w:divBdr>
        </w:div>
      </w:divsChild>
    </w:div>
    <w:div w:id="396755573">
      <w:bodyDiv w:val="1"/>
      <w:marLeft w:val="0"/>
      <w:marRight w:val="0"/>
      <w:marTop w:val="0"/>
      <w:marBottom w:val="0"/>
      <w:divBdr>
        <w:top w:val="none" w:sz="0" w:space="0" w:color="auto"/>
        <w:left w:val="none" w:sz="0" w:space="0" w:color="auto"/>
        <w:bottom w:val="none" w:sz="0" w:space="0" w:color="auto"/>
        <w:right w:val="none" w:sz="0" w:space="0" w:color="auto"/>
      </w:divBdr>
      <w:divsChild>
        <w:div w:id="1162551205">
          <w:marLeft w:val="0"/>
          <w:marRight w:val="0"/>
          <w:marTop w:val="0"/>
          <w:marBottom w:val="0"/>
          <w:divBdr>
            <w:top w:val="none" w:sz="0" w:space="0" w:color="auto"/>
            <w:left w:val="none" w:sz="0" w:space="0" w:color="auto"/>
            <w:bottom w:val="none" w:sz="0" w:space="0" w:color="auto"/>
            <w:right w:val="none" w:sz="0" w:space="0" w:color="auto"/>
          </w:divBdr>
        </w:div>
        <w:div w:id="128211277">
          <w:marLeft w:val="0"/>
          <w:marRight w:val="0"/>
          <w:marTop w:val="0"/>
          <w:marBottom w:val="0"/>
          <w:divBdr>
            <w:top w:val="none" w:sz="0" w:space="0" w:color="auto"/>
            <w:left w:val="none" w:sz="0" w:space="0" w:color="auto"/>
            <w:bottom w:val="none" w:sz="0" w:space="0" w:color="auto"/>
            <w:right w:val="none" w:sz="0" w:space="0" w:color="auto"/>
          </w:divBdr>
        </w:div>
        <w:div w:id="2098205771">
          <w:marLeft w:val="0"/>
          <w:marRight w:val="0"/>
          <w:marTop w:val="0"/>
          <w:marBottom w:val="0"/>
          <w:divBdr>
            <w:top w:val="none" w:sz="0" w:space="0" w:color="auto"/>
            <w:left w:val="none" w:sz="0" w:space="0" w:color="auto"/>
            <w:bottom w:val="none" w:sz="0" w:space="0" w:color="auto"/>
            <w:right w:val="none" w:sz="0" w:space="0" w:color="auto"/>
          </w:divBdr>
        </w:div>
        <w:div w:id="155922132">
          <w:marLeft w:val="0"/>
          <w:marRight w:val="0"/>
          <w:marTop w:val="0"/>
          <w:marBottom w:val="0"/>
          <w:divBdr>
            <w:top w:val="none" w:sz="0" w:space="0" w:color="auto"/>
            <w:left w:val="none" w:sz="0" w:space="0" w:color="auto"/>
            <w:bottom w:val="none" w:sz="0" w:space="0" w:color="auto"/>
            <w:right w:val="none" w:sz="0" w:space="0" w:color="auto"/>
          </w:divBdr>
        </w:div>
      </w:divsChild>
    </w:div>
    <w:div w:id="514612730">
      <w:bodyDiv w:val="1"/>
      <w:marLeft w:val="0"/>
      <w:marRight w:val="0"/>
      <w:marTop w:val="0"/>
      <w:marBottom w:val="0"/>
      <w:divBdr>
        <w:top w:val="none" w:sz="0" w:space="0" w:color="auto"/>
        <w:left w:val="none" w:sz="0" w:space="0" w:color="auto"/>
        <w:bottom w:val="none" w:sz="0" w:space="0" w:color="auto"/>
        <w:right w:val="none" w:sz="0" w:space="0" w:color="auto"/>
      </w:divBdr>
      <w:divsChild>
        <w:div w:id="911618379">
          <w:marLeft w:val="0"/>
          <w:marRight w:val="0"/>
          <w:marTop w:val="0"/>
          <w:marBottom w:val="0"/>
          <w:divBdr>
            <w:top w:val="none" w:sz="0" w:space="0" w:color="auto"/>
            <w:left w:val="none" w:sz="0" w:space="0" w:color="auto"/>
            <w:bottom w:val="none" w:sz="0" w:space="0" w:color="auto"/>
            <w:right w:val="none" w:sz="0" w:space="0" w:color="auto"/>
          </w:divBdr>
        </w:div>
      </w:divsChild>
    </w:div>
    <w:div w:id="521474724">
      <w:bodyDiv w:val="1"/>
      <w:marLeft w:val="0"/>
      <w:marRight w:val="0"/>
      <w:marTop w:val="0"/>
      <w:marBottom w:val="0"/>
      <w:divBdr>
        <w:top w:val="none" w:sz="0" w:space="0" w:color="auto"/>
        <w:left w:val="none" w:sz="0" w:space="0" w:color="auto"/>
        <w:bottom w:val="none" w:sz="0" w:space="0" w:color="auto"/>
        <w:right w:val="none" w:sz="0" w:space="0" w:color="auto"/>
      </w:divBdr>
      <w:divsChild>
        <w:div w:id="338964501">
          <w:marLeft w:val="0"/>
          <w:marRight w:val="0"/>
          <w:marTop w:val="0"/>
          <w:marBottom w:val="0"/>
          <w:divBdr>
            <w:top w:val="none" w:sz="0" w:space="0" w:color="auto"/>
            <w:left w:val="none" w:sz="0" w:space="0" w:color="auto"/>
            <w:bottom w:val="none" w:sz="0" w:space="0" w:color="auto"/>
            <w:right w:val="none" w:sz="0" w:space="0" w:color="auto"/>
          </w:divBdr>
        </w:div>
      </w:divsChild>
    </w:div>
    <w:div w:id="611134485">
      <w:bodyDiv w:val="1"/>
      <w:marLeft w:val="0"/>
      <w:marRight w:val="0"/>
      <w:marTop w:val="0"/>
      <w:marBottom w:val="0"/>
      <w:divBdr>
        <w:top w:val="none" w:sz="0" w:space="0" w:color="auto"/>
        <w:left w:val="none" w:sz="0" w:space="0" w:color="auto"/>
        <w:bottom w:val="none" w:sz="0" w:space="0" w:color="auto"/>
        <w:right w:val="none" w:sz="0" w:space="0" w:color="auto"/>
      </w:divBdr>
      <w:divsChild>
        <w:div w:id="595406685">
          <w:marLeft w:val="0"/>
          <w:marRight w:val="0"/>
          <w:marTop w:val="0"/>
          <w:marBottom w:val="0"/>
          <w:divBdr>
            <w:top w:val="none" w:sz="0" w:space="0" w:color="auto"/>
            <w:left w:val="none" w:sz="0" w:space="0" w:color="auto"/>
            <w:bottom w:val="none" w:sz="0" w:space="0" w:color="auto"/>
            <w:right w:val="none" w:sz="0" w:space="0" w:color="auto"/>
          </w:divBdr>
        </w:div>
      </w:divsChild>
    </w:div>
    <w:div w:id="647713638">
      <w:bodyDiv w:val="1"/>
      <w:marLeft w:val="0"/>
      <w:marRight w:val="0"/>
      <w:marTop w:val="0"/>
      <w:marBottom w:val="0"/>
      <w:divBdr>
        <w:top w:val="none" w:sz="0" w:space="0" w:color="auto"/>
        <w:left w:val="none" w:sz="0" w:space="0" w:color="auto"/>
        <w:bottom w:val="none" w:sz="0" w:space="0" w:color="auto"/>
        <w:right w:val="none" w:sz="0" w:space="0" w:color="auto"/>
      </w:divBdr>
      <w:divsChild>
        <w:div w:id="1472598075">
          <w:marLeft w:val="0"/>
          <w:marRight w:val="0"/>
          <w:marTop w:val="0"/>
          <w:marBottom w:val="0"/>
          <w:divBdr>
            <w:top w:val="none" w:sz="0" w:space="0" w:color="auto"/>
            <w:left w:val="none" w:sz="0" w:space="0" w:color="auto"/>
            <w:bottom w:val="none" w:sz="0" w:space="0" w:color="auto"/>
            <w:right w:val="none" w:sz="0" w:space="0" w:color="auto"/>
          </w:divBdr>
        </w:div>
      </w:divsChild>
    </w:div>
    <w:div w:id="696663700">
      <w:bodyDiv w:val="1"/>
      <w:marLeft w:val="0"/>
      <w:marRight w:val="0"/>
      <w:marTop w:val="0"/>
      <w:marBottom w:val="0"/>
      <w:divBdr>
        <w:top w:val="none" w:sz="0" w:space="0" w:color="auto"/>
        <w:left w:val="none" w:sz="0" w:space="0" w:color="auto"/>
        <w:bottom w:val="none" w:sz="0" w:space="0" w:color="auto"/>
        <w:right w:val="none" w:sz="0" w:space="0" w:color="auto"/>
      </w:divBdr>
      <w:divsChild>
        <w:div w:id="1184975077">
          <w:marLeft w:val="0"/>
          <w:marRight w:val="0"/>
          <w:marTop w:val="0"/>
          <w:marBottom w:val="0"/>
          <w:divBdr>
            <w:top w:val="none" w:sz="0" w:space="0" w:color="auto"/>
            <w:left w:val="none" w:sz="0" w:space="0" w:color="auto"/>
            <w:bottom w:val="none" w:sz="0" w:space="0" w:color="auto"/>
            <w:right w:val="none" w:sz="0" w:space="0" w:color="auto"/>
          </w:divBdr>
        </w:div>
      </w:divsChild>
    </w:div>
    <w:div w:id="711880843">
      <w:bodyDiv w:val="1"/>
      <w:marLeft w:val="0"/>
      <w:marRight w:val="0"/>
      <w:marTop w:val="0"/>
      <w:marBottom w:val="0"/>
      <w:divBdr>
        <w:top w:val="none" w:sz="0" w:space="0" w:color="auto"/>
        <w:left w:val="none" w:sz="0" w:space="0" w:color="auto"/>
        <w:bottom w:val="none" w:sz="0" w:space="0" w:color="auto"/>
        <w:right w:val="none" w:sz="0" w:space="0" w:color="auto"/>
      </w:divBdr>
      <w:divsChild>
        <w:div w:id="569920892">
          <w:marLeft w:val="0"/>
          <w:marRight w:val="0"/>
          <w:marTop w:val="0"/>
          <w:marBottom w:val="0"/>
          <w:divBdr>
            <w:top w:val="none" w:sz="0" w:space="0" w:color="auto"/>
            <w:left w:val="none" w:sz="0" w:space="0" w:color="auto"/>
            <w:bottom w:val="none" w:sz="0" w:space="0" w:color="auto"/>
            <w:right w:val="none" w:sz="0" w:space="0" w:color="auto"/>
          </w:divBdr>
        </w:div>
      </w:divsChild>
    </w:div>
    <w:div w:id="721714795">
      <w:bodyDiv w:val="1"/>
      <w:marLeft w:val="0"/>
      <w:marRight w:val="0"/>
      <w:marTop w:val="0"/>
      <w:marBottom w:val="0"/>
      <w:divBdr>
        <w:top w:val="none" w:sz="0" w:space="0" w:color="auto"/>
        <w:left w:val="none" w:sz="0" w:space="0" w:color="auto"/>
        <w:bottom w:val="none" w:sz="0" w:space="0" w:color="auto"/>
        <w:right w:val="none" w:sz="0" w:space="0" w:color="auto"/>
      </w:divBdr>
      <w:divsChild>
        <w:div w:id="930620690">
          <w:marLeft w:val="0"/>
          <w:marRight w:val="0"/>
          <w:marTop w:val="0"/>
          <w:marBottom w:val="0"/>
          <w:divBdr>
            <w:top w:val="none" w:sz="0" w:space="0" w:color="auto"/>
            <w:left w:val="none" w:sz="0" w:space="0" w:color="auto"/>
            <w:bottom w:val="none" w:sz="0" w:space="0" w:color="auto"/>
            <w:right w:val="none" w:sz="0" w:space="0" w:color="auto"/>
          </w:divBdr>
        </w:div>
      </w:divsChild>
    </w:div>
    <w:div w:id="737947023">
      <w:bodyDiv w:val="1"/>
      <w:marLeft w:val="0"/>
      <w:marRight w:val="0"/>
      <w:marTop w:val="0"/>
      <w:marBottom w:val="0"/>
      <w:divBdr>
        <w:top w:val="none" w:sz="0" w:space="0" w:color="auto"/>
        <w:left w:val="none" w:sz="0" w:space="0" w:color="auto"/>
        <w:bottom w:val="none" w:sz="0" w:space="0" w:color="auto"/>
        <w:right w:val="none" w:sz="0" w:space="0" w:color="auto"/>
      </w:divBdr>
      <w:divsChild>
        <w:div w:id="1773623907">
          <w:marLeft w:val="480"/>
          <w:marRight w:val="0"/>
          <w:marTop w:val="0"/>
          <w:marBottom w:val="0"/>
          <w:divBdr>
            <w:top w:val="none" w:sz="0" w:space="0" w:color="auto"/>
            <w:left w:val="none" w:sz="0" w:space="0" w:color="auto"/>
            <w:bottom w:val="none" w:sz="0" w:space="0" w:color="auto"/>
            <w:right w:val="none" w:sz="0" w:space="0" w:color="auto"/>
          </w:divBdr>
          <w:divsChild>
            <w:div w:id="104768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594750">
      <w:bodyDiv w:val="1"/>
      <w:marLeft w:val="0"/>
      <w:marRight w:val="0"/>
      <w:marTop w:val="0"/>
      <w:marBottom w:val="0"/>
      <w:divBdr>
        <w:top w:val="none" w:sz="0" w:space="0" w:color="auto"/>
        <w:left w:val="none" w:sz="0" w:space="0" w:color="auto"/>
        <w:bottom w:val="none" w:sz="0" w:space="0" w:color="auto"/>
        <w:right w:val="none" w:sz="0" w:space="0" w:color="auto"/>
      </w:divBdr>
      <w:divsChild>
        <w:div w:id="933048164">
          <w:marLeft w:val="0"/>
          <w:marRight w:val="0"/>
          <w:marTop w:val="0"/>
          <w:marBottom w:val="0"/>
          <w:divBdr>
            <w:top w:val="none" w:sz="0" w:space="0" w:color="auto"/>
            <w:left w:val="none" w:sz="0" w:space="0" w:color="auto"/>
            <w:bottom w:val="none" w:sz="0" w:space="0" w:color="auto"/>
            <w:right w:val="none" w:sz="0" w:space="0" w:color="auto"/>
          </w:divBdr>
        </w:div>
      </w:divsChild>
    </w:div>
    <w:div w:id="954291705">
      <w:bodyDiv w:val="1"/>
      <w:marLeft w:val="0"/>
      <w:marRight w:val="0"/>
      <w:marTop w:val="0"/>
      <w:marBottom w:val="0"/>
      <w:divBdr>
        <w:top w:val="none" w:sz="0" w:space="0" w:color="auto"/>
        <w:left w:val="none" w:sz="0" w:space="0" w:color="auto"/>
        <w:bottom w:val="none" w:sz="0" w:space="0" w:color="auto"/>
        <w:right w:val="none" w:sz="0" w:space="0" w:color="auto"/>
      </w:divBdr>
      <w:divsChild>
        <w:div w:id="67505655">
          <w:marLeft w:val="0"/>
          <w:marRight w:val="0"/>
          <w:marTop w:val="0"/>
          <w:marBottom w:val="0"/>
          <w:divBdr>
            <w:top w:val="none" w:sz="0" w:space="0" w:color="auto"/>
            <w:left w:val="none" w:sz="0" w:space="0" w:color="auto"/>
            <w:bottom w:val="none" w:sz="0" w:space="0" w:color="auto"/>
            <w:right w:val="none" w:sz="0" w:space="0" w:color="auto"/>
          </w:divBdr>
        </w:div>
      </w:divsChild>
    </w:div>
    <w:div w:id="1004012866">
      <w:bodyDiv w:val="1"/>
      <w:marLeft w:val="0"/>
      <w:marRight w:val="0"/>
      <w:marTop w:val="0"/>
      <w:marBottom w:val="0"/>
      <w:divBdr>
        <w:top w:val="none" w:sz="0" w:space="0" w:color="auto"/>
        <w:left w:val="none" w:sz="0" w:space="0" w:color="auto"/>
        <w:bottom w:val="none" w:sz="0" w:space="0" w:color="auto"/>
        <w:right w:val="none" w:sz="0" w:space="0" w:color="auto"/>
      </w:divBdr>
      <w:divsChild>
        <w:div w:id="782919495">
          <w:marLeft w:val="0"/>
          <w:marRight w:val="0"/>
          <w:marTop w:val="0"/>
          <w:marBottom w:val="0"/>
          <w:divBdr>
            <w:top w:val="none" w:sz="0" w:space="0" w:color="auto"/>
            <w:left w:val="none" w:sz="0" w:space="0" w:color="auto"/>
            <w:bottom w:val="none" w:sz="0" w:space="0" w:color="auto"/>
            <w:right w:val="none" w:sz="0" w:space="0" w:color="auto"/>
          </w:divBdr>
          <w:divsChild>
            <w:div w:id="176557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62686">
      <w:bodyDiv w:val="1"/>
      <w:marLeft w:val="0"/>
      <w:marRight w:val="0"/>
      <w:marTop w:val="0"/>
      <w:marBottom w:val="0"/>
      <w:divBdr>
        <w:top w:val="none" w:sz="0" w:space="0" w:color="auto"/>
        <w:left w:val="none" w:sz="0" w:space="0" w:color="auto"/>
        <w:bottom w:val="none" w:sz="0" w:space="0" w:color="auto"/>
        <w:right w:val="none" w:sz="0" w:space="0" w:color="auto"/>
      </w:divBdr>
      <w:divsChild>
        <w:div w:id="1146705631">
          <w:marLeft w:val="0"/>
          <w:marRight w:val="0"/>
          <w:marTop w:val="0"/>
          <w:marBottom w:val="0"/>
          <w:divBdr>
            <w:top w:val="none" w:sz="0" w:space="0" w:color="auto"/>
            <w:left w:val="none" w:sz="0" w:space="0" w:color="auto"/>
            <w:bottom w:val="none" w:sz="0" w:space="0" w:color="auto"/>
            <w:right w:val="none" w:sz="0" w:space="0" w:color="auto"/>
          </w:divBdr>
        </w:div>
      </w:divsChild>
    </w:div>
    <w:div w:id="1129930613">
      <w:bodyDiv w:val="1"/>
      <w:marLeft w:val="0"/>
      <w:marRight w:val="0"/>
      <w:marTop w:val="0"/>
      <w:marBottom w:val="0"/>
      <w:divBdr>
        <w:top w:val="none" w:sz="0" w:space="0" w:color="auto"/>
        <w:left w:val="none" w:sz="0" w:space="0" w:color="auto"/>
        <w:bottom w:val="none" w:sz="0" w:space="0" w:color="auto"/>
        <w:right w:val="none" w:sz="0" w:space="0" w:color="auto"/>
      </w:divBdr>
      <w:divsChild>
        <w:div w:id="1470434530">
          <w:marLeft w:val="0"/>
          <w:marRight w:val="0"/>
          <w:marTop w:val="0"/>
          <w:marBottom w:val="0"/>
          <w:divBdr>
            <w:top w:val="none" w:sz="0" w:space="0" w:color="auto"/>
            <w:left w:val="none" w:sz="0" w:space="0" w:color="auto"/>
            <w:bottom w:val="none" w:sz="0" w:space="0" w:color="auto"/>
            <w:right w:val="none" w:sz="0" w:space="0" w:color="auto"/>
          </w:divBdr>
        </w:div>
        <w:div w:id="1460107753">
          <w:marLeft w:val="0"/>
          <w:marRight w:val="0"/>
          <w:marTop w:val="0"/>
          <w:marBottom w:val="0"/>
          <w:divBdr>
            <w:top w:val="none" w:sz="0" w:space="0" w:color="auto"/>
            <w:left w:val="none" w:sz="0" w:space="0" w:color="auto"/>
            <w:bottom w:val="none" w:sz="0" w:space="0" w:color="auto"/>
            <w:right w:val="none" w:sz="0" w:space="0" w:color="auto"/>
          </w:divBdr>
        </w:div>
        <w:div w:id="5180233">
          <w:marLeft w:val="0"/>
          <w:marRight w:val="0"/>
          <w:marTop w:val="0"/>
          <w:marBottom w:val="0"/>
          <w:divBdr>
            <w:top w:val="none" w:sz="0" w:space="0" w:color="auto"/>
            <w:left w:val="none" w:sz="0" w:space="0" w:color="auto"/>
            <w:bottom w:val="none" w:sz="0" w:space="0" w:color="auto"/>
            <w:right w:val="none" w:sz="0" w:space="0" w:color="auto"/>
          </w:divBdr>
        </w:div>
        <w:div w:id="1976641070">
          <w:marLeft w:val="0"/>
          <w:marRight w:val="0"/>
          <w:marTop w:val="0"/>
          <w:marBottom w:val="0"/>
          <w:divBdr>
            <w:top w:val="none" w:sz="0" w:space="0" w:color="auto"/>
            <w:left w:val="none" w:sz="0" w:space="0" w:color="auto"/>
            <w:bottom w:val="none" w:sz="0" w:space="0" w:color="auto"/>
            <w:right w:val="none" w:sz="0" w:space="0" w:color="auto"/>
          </w:divBdr>
        </w:div>
      </w:divsChild>
    </w:div>
    <w:div w:id="1282374267">
      <w:bodyDiv w:val="1"/>
      <w:marLeft w:val="0"/>
      <w:marRight w:val="0"/>
      <w:marTop w:val="0"/>
      <w:marBottom w:val="0"/>
      <w:divBdr>
        <w:top w:val="none" w:sz="0" w:space="0" w:color="auto"/>
        <w:left w:val="none" w:sz="0" w:space="0" w:color="auto"/>
        <w:bottom w:val="none" w:sz="0" w:space="0" w:color="auto"/>
        <w:right w:val="none" w:sz="0" w:space="0" w:color="auto"/>
      </w:divBdr>
      <w:divsChild>
        <w:div w:id="1620181354">
          <w:marLeft w:val="0"/>
          <w:marRight w:val="0"/>
          <w:marTop w:val="0"/>
          <w:marBottom w:val="0"/>
          <w:divBdr>
            <w:top w:val="none" w:sz="0" w:space="0" w:color="auto"/>
            <w:left w:val="none" w:sz="0" w:space="0" w:color="auto"/>
            <w:bottom w:val="none" w:sz="0" w:space="0" w:color="auto"/>
            <w:right w:val="none" w:sz="0" w:space="0" w:color="auto"/>
          </w:divBdr>
          <w:divsChild>
            <w:div w:id="172733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345219">
      <w:bodyDiv w:val="1"/>
      <w:marLeft w:val="0"/>
      <w:marRight w:val="0"/>
      <w:marTop w:val="0"/>
      <w:marBottom w:val="0"/>
      <w:divBdr>
        <w:top w:val="none" w:sz="0" w:space="0" w:color="auto"/>
        <w:left w:val="none" w:sz="0" w:space="0" w:color="auto"/>
        <w:bottom w:val="none" w:sz="0" w:space="0" w:color="auto"/>
        <w:right w:val="none" w:sz="0" w:space="0" w:color="auto"/>
      </w:divBdr>
      <w:divsChild>
        <w:div w:id="245382524">
          <w:marLeft w:val="0"/>
          <w:marRight w:val="0"/>
          <w:marTop w:val="0"/>
          <w:marBottom w:val="0"/>
          <w:divBdr>
            <w:top w:val="none" w:sz="0" w:space="0" w:color="auto"/>
            <w:left w:val="none" w:sz="0" w:space="0" w:color="auto"/>
            <w:bottom w:val="none" w:sz="0" w:space="0" w:color="auto"/>
            <w:right w:val="none" w:sz="0" w:space="0" w:color="auto"/>
          </w:divBdr>
        </w:div>
      </w:divsChild>
    </w:div>
    <w:div w:id="1318650493">
      <w:bodyDiv w:val="1"/>
      <w:marLeft w:val="0"/>
      <w:marRight w:val="0"/>
      <w:marTop w:val="0"/>
      <w:marBottom w:val="0"/>
      <w:divBdr>
        <w:top w:val="none" w:sz="0" w:space="0" w:color="auto"/>
        <w:left w:val="none" w:sz="0" w:space="0" w:color="auto"/>
        <w:bottom w:val="none" w:sz="0" w:space="0" w:color="auto"/>
        <w:right w:val="none" w:sz="0" w:space="0" w:color="auto"/>
      </w:divBdr>
      <w:divsChild>
        <w:div w:id="1989893435">
          <w:marLeft w:val="0"/>
          <w:marRight w:val="0"/>
          <w:marTop w:val="0"/>
          <w:marBottom w:val="0"/>
          <w:divBdr>
            <w:top w:val="none" w:sz="0" w:space="0" w:color="auto"/>
            <w:left w:val="none" w:sz="0" w:space="0" w:color="auto"/>
            <w:bottom w:val="none" w:sz="0" w:space="0" w:color="auto"/>
            <w:right w:val="none" w:sz="0" w:space="0" w:color="auto"/>
          </w:divBdr>
        </w:div>
      </w:divsChild>
    </w:div>
    <w:div w:id="1361516166">
      <w:bodyDiv w:val="1"/>
      <w:marLeft w:val="0"/>
      <w:marRight w:val="0"/>
      <w:marTop w:val="0"/>
      <w:marBottom w:val="0"/>
      <w:divBdr>
        <w:top w:val="none" w:sz="0" w:space="0" w:color="auto"/>
        <w:left w:val="none" w:sz="0" w:space="0" w:color="auto"/>
        <w:bottom w:val="none" w:sz="0" w:space="0" w:color="auto"/>
        <w:right w:val="none" w:sz="0" w:space="0" w:color="auto"/>
      </w:divBdr>
      <w:divsChild>
        <w:div w:id="187259068">
          <w:marLeft w:val="0"/>
          <w:marRight w:val="0"/>
          <w:marTop w:val="0"/>
          <w:marBottom w:val="0"/>
          <w:divBdr>
            <w:top w:val="none" w:sz="0" w:space="0" w:color="auto"/>
            <w:left w:val="none" w:sz="0" w:space="0" w:color="auto"/>
            <w:bottom w:val="none" w:sz="0" w:space="0" w:color="auto"/>
            <w:right w:val="none" w:sz="0" w:space="0" w:color="auto"/>
          </w:divBdr>
        </w:div>
      </w:divsChild>
    </w:div>
    <w:div w:id="1397319126">
      <w:bodyDiv w:val="1"/>
      <w:marLeft w:val="0"/>
      <w:marRight w:val="0"/>
      <w:marTop w:val="0"/>
      <w:marBottom w:val="0"/>
      <w:divBdr>
        <w:top w:val="none" w:sz="0" w:space="0" w:color="auto"/>
        <w:left w:val="none" w:sz="0" w:space="0" w:color="auto"/>
        <w:bottom w:val="none" w:sz="0" w:space="0" w:color="auto"/>
        <w:right w:val="none" w:sz="0" w:space="0" w:color="auto"/>
      </w:divBdr>
      <w:divsChild>
        <w:div w:id="306400707">
          <w:marLeft w:val="0"/>
          <w:marRight w:val="0"/>
          <w:marTop w:val="0"/>
          <w:marBottom w:val="0"/>
          <w:divBdr>
            <w:top w:val="none" w:sz="0" w:space="0" w:color="auto"/>
            <w:left w:val="none" w:sz="0" w:space="0" w:color="auto"/>
            <w:bottom w:val="none" w:sz="0" w:space="0" w:color="auto"/>
            <w:right w:val="none" w:sz="0" w:space="0" w:color="auto"/>
          </w:divBdr>
        </w:div>
      </w:divsChild>
    </w:div>
    <w:div w:id="1452630199">
      <w:bodyDiv w:val="1"/>
      <w:marLeft w:val="0"/>
      <w:marRight w:val="0"/>
      <w:marTop w:val="0"/>
      <w:marBottom w:val="0"/>
      <w:divBdr>
        <w:top w:val="none" w:sz="0" w:space="0" w:color="auto"/>
        <w:left w:val="none" w:sz="0" w:space="0" w:color="auto"/>
        <w:bottom w:val="none" w:sz="0" w:space="0" w:color="auto"/>
        <w:right w:val="none" w:sz="0" w:space="0" w:color="auto"/>
      </w:divBdr>
      <w:divsChild>
        <w:div w:id="2084639617">
          <w:marLeft w:val="360"/>
          <w:marRight w:val="0"/>
          <w:marTop w:val="200"/>
          <w:marBottom w:val="0"/>
          <w:divBdr>
            <w:top w:val="none" w:sz="0" w:space="0" w:color="auto"/>
            <w:left w:val="none" w:sz="0" w:space="0" w:color="auto"/>
            <w:bottom w:val="none" w:sz="0" w:space="0" w:color="auto"/>
            <w:right w:val="none" w:sz="0" w:space="0" w:color="auto"/>
          </w:divBdr>
        </w:div>
      </w:divsChild>
    </w:div>
    <w:div w:id="1471247326">
      <w:bodyDiv w:val="1"/>
      <w:marLeft w:val="0"/>
      <w:marRight w:val="0"/>
      <w:marTop w:val="0"/>
      <w:marBottom w:val="0"/>
      <w:divBdr>
        <w:top w:val="none" w:sz="0" w:space="0" w:color="auto"/>
        <w:left w:val="none" w:sz="0" w:space="0" w:color="auto"/>
        <w:bottom w:val="none" w:sz="0" w:space="0" w:color="auto"/>
        <w:right w:val="none" w:sz="0" w:space="0" w:color="auto"/>
      </w:divBdr>
    </w:div>
    <w:div w:id="1475023151">
      <w:bodyDiv w:val="1"/>
      <w:marLeft w:val="0"/>
      <w:marRight w:val="0"/>
      <w:marTop w:val="0"/>
      <w:marBottom w:val="0"/>
      <w:divBdr>
        <w:top w:val="none" w:sz="0" w:space="0" w:color="auto"/>
        <w:left w:val="none" w:sz="0" w:space="0" w:color="auto"/>
        <w:bottom w:val="none" w:sz="0" w:space="0" w:color="auto"/>
        <w:right w:val="none" w:sz="0" w:space="0" w:color="auto"/>
      </w:divBdr>
      <w:divsChild>
        <w:div w:id="410397174">
          <w:marLeft w:val="480"/>
          <w:marRight w:val="0"/>
          <w:marTop w:val="0"/>
          <w:marBottom w:val="0"/>
          <w:divBdr>
            <w:top w:val="none" w:sz="0" w:space="0" w:color="auto"/>
            <w:left w:val="none" w:sz="0" w:space="0" w:color="auto"/>
            <w:bottom w:val="none" w:sz="0" w:space="0" w:color="auto"/>
            <w:right w:val="none" w:sz="0" w:space="0" w:color="auto"/>
          </w:divBdr>
          <w:divsChild>
            <w:div w:id="121172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625028">
      <w:bodyDiv w:val="1"/>
      <w:marLeft w:val="0"/>
      <w:marRight w:val="0"/>
      <w:marTop w:val="0"/>
      <w:marBottom w:val="0"/>
      <w:divBdr>
        <w:top w:val="none" w:sz="0" w:space="0" w:color="auto"/>
        <w:left w:val="none" w:sz="0" w:space="0" w:color="auto"/>
        <w:bottom w:val="none" w:sz="0" w:space="0" w:color="auto"/>
        <w:right w:val="none" w:sz="0" w:space="0" w:color="auto"/>
      </w:divBdr>
      <w:divsChild>
        <w:div w:id="786436033">
          <w:marLeft w:val="0"/>
          <w:marRight w:val="0"/>
          <w:marTop w:val="0"/>
          <w:marBottom w:val="0"/>
          <w:divBdr>
            <w:top w:val="none" w:sz="0" w:space="0" w:color="auto"/>
            <w:left w:val="none" w:sz="0" w:space="0" w:color="auto"/>
            <w:bottom w:val="none" w:sz="0" w:space="0" w:color="auto"/>
            <w:right w:val="none" w:sz="0" w:space="0" w:color="auto"/>
          </w:divBdr>
        </w:div>
      </w:divsChild>
    </w:div>
    <w:div w:id="1518423853">
      <w:bodyDiv w:val="1"/>
      <w:marLeft w:val="0"/>
      <w:marRight w:val="0"/>
      <w:marTop w:val="0"/>
      <w:marBottom w:val="0"/>
      <w:divBdr>
        <w:top w:val="none" w:sz="0" w:space="0" w:color="auto"/>
        <w:left w:val="none" w:sz="0" w:space="0" w:color="auto"/>
        <w:bottom w:val="none" w:sz="0" w:space="0" w:color="auto"/>
        <w:right w:val="none" w:sz="0" w:space="0" w:color="auto"/>
      </w:divBdr>
      <w:divsChild>
        <w:div w:id="1938980301">
          <w:marLeft w:val="0"/>
          <w:marRight w:val="0"/>
          <w:marTop w:val="0"/>
          <w:marBottom w:val="0"/>
          <w:divBdr>
            <w:top w:val="none" w:sz="0" w:space="0" w:color="auto"/>
            <w:left w:val="none" w:sz="0" w:space="0" w:color="auto"/>
            <w:bottom w:val="none" w:sz="0" w:space="0" w:color="auto"/>
            <w:right w:val="none" w:sz="0" w:space="0" w:color="auto"/>
          </w:divBdr>
        </w:div>
      </w:divsChild>
    </w:div>
    <w:div w:id="1635714975">
      <w:bodyDiv w:val="1"/>
      <w:marLeft w:val="0"/>
      <w:marRight w:val="0"/>
      <w:marTop w:val="0"/>
      <w:marBottom w:val="0"/>
      <w:divBdr>
        <w:top w:val="none" w:sz="0" w:space="0" w:color="auto"/>
        <w:left w:val="none" w:sz="0" w:space="0" w:color="auto"/>
        <w:bottom w:val="none" w:sz="0" w:space="0" w:color="auto"/>
        <w:right w:val="none" w:sz="0" w:space="0" w:color="auto"/>
      </w:divBdr>
      <w:divsChild>
        <w:div w:id="86729380">
          <w:marLeft w:val="480"/>
          <w:marRight w:val="0"/>
          <w:marTop w:val="0"/>
          <w:marBottom w:val="0"/>
          <w:divBdr>
            <w:top w:val="none" w:sz="0" w:space="0" w:color="auto"/>
            <w:left w:val="none" w:sz="0" w:space="0" w:color="auto"/>
            <w:bottom w:val="none" w:sz="0" w:space="0" w:color="auto"/>
            <w:right w:val="none" w:sz="0" w:space="0" w:color="auto"/>
          </w:divBdr>
          <w:divsChild>
            <w:div w:id="92006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449329">
      <w:bodyDiv w:val="1"/>
      <w:marLeft w:val="0"/>
      <w:marRight w:val="0"/>
      <w:marTop w:val="0"/>
      <w:marBottom w:val="0"/>
      <w:divBdr>
        <w:top w:val="none" w:sz="0" w:space="0" w:color="auto"/>
        <w:left w:val="none" w:sz="0" w:space="0" w:color="auto"/>
        <w:bottom w:val="none" w:sz="0" w:space="0" w:color="auto"/>
        <w:right w:val="none" w:sz="0" w:space="0" w:color="auto"/>
      </w:divBdr>
    </w:div>
    <w:div w:id="1672491074">
      <w:bodyDiv w:val="1"/>
      <w:marLeft w:val="0"/>
      <w:marRight w:val="0"/>
      <w:marTop w:val="0"/>
      <w:marBottom w:val="0"/>
      <w:divBdr>
        <w:top w:val="none" w:sz="0" w:space="0" w:color="auto"/>
        <w:left w:val="none" w:sz="0" w:space="0" w:color="auto"/>
        <w:bottom w:val="none" w:sz="0" w:space="0" w:color="auto"/>
        <w:right w:val="none" w:sz="0" w:space="0" w:color="auto"/>
      </w:divBdr>
      <w:divsChild>
        <w:div w:id="1044132847">
          <w:marLeft w:val="0"/>
          <w:marRight w:val="0"/>
          <w:marTop w:val="0"/>
          <w:marBottom w:val="0"/>
          <w:divBdr>
            <w:top w:val="none" w:sz="0" w:space="0" w:color="auto"/>
            <w:left w:val="none" w:sz="0" w:space="0" w:color="auto"/>
            <w:bottom w:val="none" w:sz="0" w:space="0" w:color="auto"/>
            <w:right w:val="none" w:sz="0" w:space="0" w:color="auto"/>
          </w:divBdr>
        </w:div>
      </w:divsChild>
    </w:div>
    <w:div w:id="1731341006">
      <w:bodyDiv w:val="1"/>
      <w:marLeft w:val="0"/>
      <w:marRight w:val="0"/>
      <w:marTop w:val="0"/>
      <w:marBottom w:val="0"/>
      <w:divBdr>
        <w:top w:val="none" w:sz="0" w:space="0" w:color="auto"/>
        <w:left w:val="none" w:sz="0" w:space="0" w:color="auto"/>
        <w:bottom w:val="none" w:sz="0" w:space="0" w:color="auto"/>
        <w:right w:val="none" w:sz="0" w:space="0" w:color="auto"/>
      </w:divBdr>
      <w:divsChild>
        <w:div w:id="91247134">
          <w:marLeft w:val="0"/>
          <w:marRight w:val="0"/>
          <w:marTop w:val="0"/>
          <w:marBottom w:val="0"/>
          <w:divBdr>
            <w:top w:val="none" w:sz="0" w:space="0" w:color="auto"/>
            <w:left w:val="none" w:sz="0" w:space="0" w:color="auto"/>
            <w:bottom w:val="none" w:sz="0" w:space="0" w:color="auto"/>
            <w:right w:val="none" w:sz="0" w:space="0" w:color="auto"/>
          </w:divBdr>
          <w:divsChild>
            <w:div w:id="123983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524680">
      <w:bodyDiv w:val="1"/>
      <w:marLeft w:val="0"/>
      <w:marRight w:val="0"/>
      <w:marTop w:val="0"/>
      <w:marBottom w:val="0"/>
      <w:divBdr>
        <w:top w:val="none" w:sz="0" w:space="0" w:color="auto"/>
        <w:left w:val="none" w:sz="0" w:space="0" w:color="auto"/>
        <w:bottom w:val="none" w:sz="0" w:space="0" w:color="auto"/>
        <w:right w:val="none" w:sz="0" w:space="0" w:color="auto"/>
      </w:divBdr>
      <w:divsChild>
        <w:div w:id="472143027">
          <w:marLeft w:val="0"/>
          <w:marRight w:val="0"/>
          <w:marTop w:val="0"/>
          <w:marBottom w:val="0"/>
          <w:divBdr>
            <w:top w:val="none" w:sz="0" w:space="0" w:color="auto"/>
            <w:left w:val="none" w:sz="0" w:space="0" w:color="auto"/>
            <w:bottom w:val="none" w:sz="0" w:space="0" w:color="auto"/>
            <w:right w:val="none" w:sz="0" w:space="0" w:color="auto"/>
          </w:divBdr>
        </w:div>
      </w:divsChild>
    </w:div>
    <w:div w:id="1867255784">
      <w:bodyDiv w:val="1"/>
      <w:marLeft w:val="0"/>
      <w:marRight w:val="0"/>
      <w:marTop w:val="0"/>
      <w:marBottom w:val="0"/>
      <w:divBdr>
        <w:top w:val="none" w:sz="0" w:space="0" w:color="auto"/>
        <w:left w:val="none" w:sz="0" w:space="0" w:color="auto"/>
        <w:bottom w:val="none" w:sz="0" w:space="0" w:color="auto"/>
        <w:right w:val="none" w:sz="0" w:space="0" w:color="auto"/>
      </w:divBdr>
    </w:div>
    <w:div w:id="1920674431">
      <w:bodyDiv w:val="1"/>
      <w:marLeft w:val="0"/>
      <w:marRight w:val="0"/>
      <w:marTop w:val="0"/>
      <w:marBottom w:val="0"/>
      <w:divBdr>
        <w:top w:val="none" w:sz="0" w:space="0" w:color="auto"/>
        <w:left w:val="none" w:sz="0" w:space="0" w:color="auto"/>
        <w:bottom w:val="none" w:sz="0" w:space="0" w:color="auto"/>
        <w:right w:val="none" w:sz="0" w:space="0" w:color="auto"/>
      </w:divBdr>
    </w:div>
    <w:div w:id="1949043937">
      <w:bodyDiv w:val="1"/>
      <w:marLeft w:val="0"/>
      <w:marRight w:val="0"/>
      <w:marTop w:val="0"/>
      <w:marBottom w:val="0"/>
      <w:divBdr>
        <w:top w:val="none" w:sz="0" w:space="0" w:color="auto"/>
        <w:left w:val="none" w:sz="0" w:space="0" w:color="auto"/>
        <w:bottom w:val="none" w:sz="0" w:space="0" w:color="auto"/>
        <w:right w:val="none" w:sz="0" w:space="0" w:color="auto"/>
      </w:divBdr>
      <w:divsChild>
        <w:div w:id="1000961799">
          <w:marLeft w:val="0"/>
          <w:marRight w:val="0"/>
          <w:marTop w:val="0"/>
          <w:marBottom w:val="0"/>
          <w:divBdr>
            <w:top w:val="none" w:sz="0" w:space="0" w:color="auto"/>
            <w:left w:val="none" w:sz="0" w:space="0" w:color="auto"/>
            <w:bottom w:val="none" w:sz="0" w:space="0" w:color="auto"/>
            <w:right w:val="none" w:sz="0" w:space="0" w:color="auto"/>
          </w:divBdr>
        </w:div>
      </w:divsChild>
    </w:div>
    <w:div w:id="2076704853">
      <w:bodyDiv w:val="1"/>
      <w:marLeft w:val="0"/>
      <w:marRight w:val="0"/>
      <w:marTop w:val="0"/>
      <w:marBottom w:val="0"/>
      <w:divBdr>
        <w:top w:val="none" w:sz="0" w:space="0" w:color="auto"/>
        <w:left w:val="none" w:sz="0" w:space="0" w:color="auto"/>
        <w:bottom w:val="none" w:sz="0" w:space="0" w:color="auto"/>
        <w:right w:val="none" w:sz="0" w:space="0" w:color="auto"/>
      </w:divBdr>
      <w:divsChild>
        <w:div w:id="1947613755">
          <w:marLeft w:val="0"/>
          <w:marRight w:val="0"/>
          <w:marTop w:val="0"/>
          <w:marBottom w:val="0"/>
          <w:divBdr>
            <w:top w:val="none" w:sz="0" w:space="0" w:color="auto"/>
            <w:left w:val="none" w:sz="0" w:space="0" w:color="auto"/>
            <w:bottom w:val="none" w:sz="0" w:space="0" w:color="auto"/>
            <w:right w:val="none" w:sz="0" w:space="0" w:color="auto"/>
          </w:divBdr>
        </w:div>
      </w:divsChild>
    </w:div>
    <w:div w:id="2127384672">
      <w:bodyDiv w:val="1"/>
      <w:marLeft w:val="0"/>
      <w:marRight w:val="0"/>
      <w:marTop w:val="0"/>
      <w:marBottom w:val="0"/>
      <w:divBdr>
        <w:top w:val="none" w:sz="0" w:space="0" w:color="auto"/>
        <w:left w:val="none" w:sz="0" w:space="0" w:color="auto"/>
        <w:bottom w:val="none" w:sz="0" w:space="0" w:color="auto"/>
        <w:right w:val="none" w:sz="0" w:space="0" w:color="auto"/>
      </w:divBdr>
      <w:divsChild>
        <w:div w:id="2085255256">
          <w:marLeft w:val="480"/>
          <w:marRight w:val="0"/>
          <w:marTop w:val="0"/>
          <w:marBottom w:val="0"/>
          <w:divBdr>
            <w:top w:val="none" w:sz="0" w:space="0" w:color="auto"/>
            <w:left w:val="none" w:sz="0" w:space="0" w:color="auto"/>
            <w:bottom w:val="none" w:sz="0" w:space="0" w:color="auto"/>
            <w:right w:val="none" w:sz="0" w:space="0" w:color="auto"/>
          </w:divBdr>
          <w:divsChild>
            <w:div w:id="40634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139435">
      <w:bodyDiv w:val="1"/>
      <w:marLeft w:val="0"/>
      <w:marRight w:val="0"/>
      <w:marTop w:val="0"/>
      <w:marBottom w:val="0"/>
      <w:divBdr>
        <w:top w:val="none" w:sz="0" w:space="0" w:color="auto"/>
        <w:left w:val="none" w:sz="0" w:space="0" w:color="auto"/>
        <w:bottom w:val="none" w:sz="0" w:space="0" w:color="auto"/>
        <w:right w:val="none" w:sz="0" w:space="0" w:color="auto"/>
      </w:divBdr>
      <w:divsChild>
        <w:div w:id="1454330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footnotes.xml.rels><?xml version="1.0" encoding="UTF-8" standalone="yes"?>
<Relationships xmlns="http://schemas.openxmlformats.org/package/2006/relationships"><Relationship Id="rId8" Type="http://schemas.openxmlformats.org/officeDocument/2006/relationships/hyperlink" Target="https://reliefweb.int/report/world/report-secretary-general-women-and-peace-and-security-s2024671-enarruzh" TargetMode="External"/><Relationship Id="rId3" Type="http://schemas.openxmlformats.org/officeDocument/2006/relationships/hyperlink" Target="https://globalinitiative.net/initiatives/crime-conflict/" TargetMode="External"/><Relationship Id="rId7" Type="http://schemas.openxmlformats.org/officeDocument/2006/relationships/hyperlink" Target="https://peacerep.org/2024/10/28/un-report-cites-peacerep-research-on-stagnation-of-gender-references-in-peace-agreements/" TargetMode="External"/><Relationship Id="rId2" Type="http://schemas.openxmlformats.org/officeDocument/2006/relationships/hyperlink" Target="https://www.ohchr.org/en/press-releases/2024/02/no-time-lose-uk-declares-violence-against-women-national-threat-un-expert" TargetMode="External"/><Relationship Id="rId1" Type="http://schemas.openxmlformats.org/officeDocument/2006/relationships/hyperlink" Target="https://www.theguardian.com/environment/2024/oct/08/earths-vital-signs-show-humanitys-future-in-balance-say-climate-experts" TargetMode="External"/><Relationship Id="rId6" Type="http://schemas.openxmlformats.org/officeDocument/2006/relationships/hyperlink" Target="https://wps.unwomen.org/pdf/en/GlobalStudy_EN_Web.pdf" TargetMode="External"/><Relationship Id="rId5" Type="http://schemas.openxmlformats.org/officeDocument/2006/relationships/hyperlink" Target="https://www.unwomen.org/en/docs/2000/10/un-security-council-resolution-1325" TargetMode="External"/><Relationship Id="rId4" Type="http://schemas.openxmlformats.org/officeDocument/2006/relationships/hyperlink" Target="https://unu.edu/cpr/brief/multilateral-responses-transnational-organized-crime-and-confli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15B44-E5B1-4FF4-83F3-0BED674F5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5652</Words>
  <Characters>32221</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Barker</dc:creator>
  <cp:keywords/>
  <dc:description/>
  <cp:lastModifiedBy>Nicholas Barker</cp:lastModifiedBy>
  <cp:revision>298</cp:revision>
  <dcterms:created xsi:type="dcterms:W3CDTF">2024-11-08T09:04:00Z</dcterms:created>
  <dcterms:modified xsi:type="dcterms:W3CDTF">2024-11-13T13:32:00Z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id="oQAvk9V9"/&gt;&lt;style id="http://www.zotero.org/styles/chicago-note-bibliography" locale="en-GB" hasBibliography="1" bibliographyStyleHasBeenSet="1"/&gt;&lt;prefs&gt;&lt;pref name="fieldType" value="Field"/&gt;&lt;pre</vt:lpwstr>
  </property>
  <property fmtid="{D5CDD505-2E9C-101B-9397-08002B2CF9AE}" pid="3" name="ZOTERO_PREF_2">
    <vt:lpwstr>f name="noteType" value="1"/&gt;&lt;/prefs&gt;&lt;/data&gt;</vt:lpwstr>
  </property>
</Properties>
</file>